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7AD" w:rsidRDefault="001B67AD" w:rsidP="001B67AD">
      <w:pPr>
        <w:pStyle w:val="NoSpacing"/>
        <w:rPr>
          <w:rFonts w:ascii="Arial" w:hAnsi="Arial" w:cs="Arial"/>
        </w:rPr>
      </w:pPr>
    </w:p>
    <w:p w:rsidR="001B67AD" w:rsidRDefault="001B67AD" w:rsidP="001B67AD">
      <w:pPr>
        <w:pStyle w:val="NoSpacing"/>
        <w:rPr>
          <w:rFonts w:ascii="Arial" w:hAnsi="Arial" w:cs="Arial"/>
        </w:rPr>
      </w:pPr>
      <w:r>
        <w:rPr>
          <w:rFonts w:ascii="Arial" w:hAnsi="Arial" w:cs="Arial"/>
        </w:rPr>
        <w:t>July 22, 2020</w:t>
      </w:r>
    </w:p>
    <w:p w:rsidR="001B67AD" w:rsidRPr="009A1AA5" w:rsidRDefault="001B67AD" w:rsidP="001B67AD">
      <w:pPr>
        <w:pStyle w:val="NoSpacing"/>
        <w:rPr>
          <w:rFonts w:ascii="Arial" w:hAnsi="Arial" w:cs="Arial"/>
        </w:rPr>
      </w:pPr>
    </w:p>
    <w:p w:rsidR="001B67AD" w:rsidRPr="009A1AA5" w:rsidRDefault="001B67AD" w:rsidP="001B67AD">
      <w:pPr>
        <w:pStyle w:val="NoSpacing"/>
        <w:rPr>
          <w:rFonts w:ascii="Arial" w:hAnsi="Arial" w:cs="Arial"/>
        </w:rPr>
      </w:pPr>
      <w:r w:rsidRPr="009A1AA5">
        <w:rPr>
          <w:rFonts w:ascii="Arial" w:hAnsi="Arial" w:cs="Arial"/>
        </w:rPr>
        <w:t>Amy Abernethy, PhD, MD, Principal Deputy Commissioner, FDA</w:t>
      </w:r>
    </w:p>
    <w:p w:rsidR="001B67AD" w:rsidRPr="009A1AA5" w:rsidRDefault="001B67AD" w:rsidP="001B67AD">
      <w:pPr>
        <w:pStyle w:val="NoSpacing"/>
        <w:rPr>
          <w:rFonts w:ascii="Arial" w:hAnsi="Arial" w:cs="Arial"/>
        </w:rPr>
      </w:pPr>
      <w:r w:rsidRPr="009A1AA5">
        <w:rPr>
          <w:rFonts w:ascii="Arial" w:hAnsi="Arial" w:cs="Arial"/>
        </w:rPr>
        <w:t>Vid Desai, Chief Technology Officer, FDA</w:t>
      </w:r>
    </w:p>
    <w:p w:rsidR="001B67AD" w:rsidRPr="009A1AA5" w:rsidRDefault="001B67AD" w:rsidP="001B67AD">
      <w:pPr>
        <w:pStyle w:val="NoSpacing"/>
        <w:rPr>
          <w:rFonts w:ascii="Arial" w:hAnsi="Arial" w:cs="Arial"/>
        </w:rPr>
      </w:pPr>
      <w:r w:rsidRPr="009A1AA5">
        <w:rPr>
          <w:rFonts w:ascii="Arial" w:hAnsi="Arial" w:cs="Arial"/>
        </w:rPr>
        <w:t>Office of the Commissioner</w:t>
      </w:r>
    </w:p>
    <w:p w:rsidR="001B67AD" w:rsidRPr="009A1AA5" w:rsidRDefault="001B67AD" w:rsidP="001B67AD">
      <w:pPr>
        <w:pStyle w:val="NoSpacing"/>
        <w:rPr>
          <w:rFonts w:ascii="Arial" w:hAnsi="Arial" w:cs="Arial"/>
        </w:rPr>
      </w:pPr>
      <w:r w:rsidRPr="009A1AA5">
        <w:rPr>
          <w:rFonts w:ascii="Arial" w:hAnsi="Arial" w:cs="Arial"/>
        </w:rPr>
        <w:t>Federal Research Center</w:t>
      </w:r>
    </w:p>
    <w:p w:rsidR="001B67AD" w:rsidRPr="009A1AA5" w:rsidRDefault="001B67AD" w:rsidP="001B67AD">
      <w:pPr>
        <w:pStyle w:val="NoSpacing"/>
        <w:rPr>
          <w:rFonts w:ascii="Arial" w:hAnsi="Arial" w:cs="Arial"/>
        </w:rPr>
      </w:pPr>
      <w:r w:rsidRPr="009A1AA5">
        <w:rPr>
          <w:rFonts w:ascii="Arial" w:hAnsi="Arial" w:cs="Arial"/>
        </w:rPr>
        <w:t>10903 New Hampshire Avenue</w:t>
      </w:r>
    </w:p>
    <w:p w:rsidR="001B67AD" w:rsidRPr="009A1AA5" w:rsidRDefault="001B67AD" w:rsidP="001B67AD">
      <w:pPr>
        <w:pStyle w:val="NoSpacing"/>
        <w:rPr>
          <w:rFonts w:ascii="Arial" w:hAnsi="Arial" w:cs="Arial"/>
        </w:rPr>
      </w:pPr>
      <w:r>
        <w:rPr>
          <w:rFonts w:ascii="Arial" w:hAnsi="Arial" w:cs="Arial"/>
        </w:rPr>
        <w:t>Silver Springs, MD</w:t>
      </w:r>
      <w:r w:rsidRPr="009A1AA5">
        <w:rPr>
          <w:rFonts w:ascii="Arial" w:hAnsi="Arial" w:cs="Arial"/>
        </w:rPr>
        <w:t xml:space="preserve"> 20993</w:t>
      </w:r>
    </w:p>
    <w:p w:rsidR="001B67AD" w:rsidRPr="009A1AA5" w:rsidRDefault="001B67AD" w:rsidP="001B67AD">
      <w:pPr>
        <w:pStyle w:val="NoSpacing"/>
        <w:rPr>
          <w:rFonts w:ascii="Arial" w:hAnsi="Arial" w:cs="Arial"/>
        </w:rPr>
      </w:pPr>
    </w:p>
    <w:p w:rsidR="001B67AD" w:rsidRPr="009A1AA5" w:rsidRDefault="001B67AD" w:rsidP="001B67AD">
      <w:pPr>
        <w:pStyle w:val="NoSpacing"/>
        <w:rPr>
          <w:rFonts w:ascii="Arial" w:hAnsi="Arial" w:cs="Arial"/>
        </w:rPr>
      </w:pPr>
      <w:r w:rsidRPr="009A1AA5">
        <w:rPr>
          <w:rFonts w:ascii="Arial" w:hAnsi="Arial" w:cs="Arial"/>
        </w:rPr>
        <w:t>RE: Docket Number: FDA-2019-N-5799 “Modernizing FDA’s Data Strategy”</w:t>
      </w:r>
    </w:p>
    <w:p w:rsidR="001B67AD" w:rsidRPr="009A1AA5" w:rsidRDefault="001B67AD" w:rsidP="001B67AD">
      <w:pPr>
        <w:pStyle w:val="NoSpacing"/>
        <w:rPr>
          <w:rFonts w:ascii="Arial" w:hAnsi="Arial" w:cs="Arial"/>
        </w:rPr>
      </w:pPr>
    </w:p>
    <w:p w:rsidR="001B67AD" w:rsidRPr="009A1AA5" w:rsidRDefault="001B67AD" w:rsidP="001B67AD">
      <w:pPr>
        <w:pStyle w:val="NoSpacing"/>
        <w:rPr>
          <w:rFonts w:ascii="Arial" w:hAnsi="Arial" w:cs="Arial"/>
        </w:rPr>
      </w:pPr>
      <w:r w:rsidRPr="009A1AA5">
        <w:rPr>
          <w:rFonts w:ascii="Arial" w:hAnsi="Arial" w:cs="Arial"/>
        </w:rPr>
        <w:t>Dear Dr. Abernethy and Mr. Desai:</w:t>
      </w:r>
    </w:p>
    <w:p w:rsidR="001B67AD" w:rsidRPr="009A1AA5" w:rsidRDefault="001B67AD" w:rsidP="001B67AD">
      <w:pPr>
        <w:pStyle w:val="NoSpacing"/>
        <w:rPr>
          <w:rFonts w:ascii="Arial" w:hAnsi="Arial" w:cs="Arial"/>
        </w:rPr>
      </w:pPr>
    </w:p>
    <w:p w:rsidR="001B67AD" w:rsidRPr="009A1AA5" w:rsidRDefault="001B67AD" w:rsidP="001B67AD">
      <w:pPr>
        <w:pStyle w:val="NoSpacing"/>
        <w:rPr>
          <w:rFonts w:ascii="Arial" w:hAnsi="Arial" w:cs="Arial"/>
        </w:rPr>
      </w:pPr>
      <w:r w:rsidRPr="009A1AA5">
        <w:rPr>
          <w:rFonts w:ascii="Arial" w:hAnsi="Arial" w:cs="Arial"/>
        </w:rPr>
        <w:t>The American Hospital Association’s professional membership group, Association for Health Care Resource &amp; Materials Management (AHRMM), sponsors the Learning Unique Device Identifier (UDI) Community (LUC). The LUC is comprised of physicians, clinicians, hospital supply chain professionals, manufacturers, distributors, software application provide</w:t>
      </w:r>
      <w:r>
        <w:rPr>
          <w:rFonts w:ascii="Arial" w:hAnsi="Arial" w:cs="Arial"/>
        </w:rPr>
        <w:t xml:space="preserve">rs, health care consultants and </w:t>
      </w:r>
      <w:r w:rsidRPr="009A1AA5">
        <w:rPr>
          <w:rFonts w:ascii="Arial" w:hAnsi="Arial" w:cs="Arial"/>
        </w:rPr>
        <w:t xml:space="preserve">representatives from Group Purchasing Organizations (GPOs), GS1, HIBCC, HIDA and the FDA. The mission of the LUC is to enhance patient safety and improve supply chain efficiency by developing recommended practices that speed the adoption and maximize the utilization of the UDI.  </w:t>
      </w:r>
    </w:p>
    <w:p w:rsidR="001B67AD" w:rsidRPr="009A1AA5" w:rsidRDefault="001B67AD" w:rsidP="001B67AD">
      <w:pPr>
        <w:pStyle w:val="NoSpacing"/>
        <w:rPr>
          <w:rFonts w:ascii="Arial" w:hAnsi="Arial" w:cs="Arial"/>
        </w:rPr>
      </w:pPr>
    </w:p>
    <w:p w:rsidR="001B67AD" w:rsidRPr="009A1AA5" w:rsidRDefault="001B67AD" w:rsidP="001B67AD">
      <w:pPr>
        <w:pStyle w:val="NoSpacing"/>
        <w:rPr>
          <w:rFonts w:ascii="Arial" w:hAnsi="Arial" w:cs="Arial"/>
        </w:rPr>
      </w:pPr>
      <w:r w:rsidRPr="009A1AA5">
        <w:rPr>
          <w:rFonts w:ascii="Arial" w:hAnsi="Arial" w:cs="Arial"/>
        </w:rPr>
        <w:t>To date</w:t>
      </w:r>
      <w:r>
        <w:rPr>
          <w:rFonts w:ascii="Arial" w:hAnsi="Arial" w:cs="Arial"/>
        </w:rPr>
        <w:t>,</w:t>
      </w:r>
      <w:r w:rsidRPr="009A1AA5">
        <w:rPr>
          <w:rFonts w:ascii="Arial" w:hAnsi="Arial" w:cs="Arial"/>
        </w:rPr>
        <w:t xml:space="preserve"> there have been 13 LUC workgroups involving over 600 individuals that have addressed a wide range of issues from making the business case for UDI to incorporating the UDI throughout the recall process. The following comments and recommendations are the results of the learnings and experiences of these multi-disciplinary workgroups.</w:t>
      </w:r>
    </w:p>
    <w:p w:rsidR="001B67AD" w:rsidRPr="009A1AA5" w:rsidRDefault="001B67AD" w:rsidP="001B67AD">
      <w:pPr>
        <w:pStyle w:val="NoSpacing"/>
        <w:rPr>
          <w:rFonts w:ascii="Arial" w:hAnsi="Arial" w:cs="Arial"/>
        </w:rPr>
      </w:pPr>
    </w:p>
    <w:p w:rsidR="001B67AD" w:rsidRPr="009A1AA5" w:rsidRDefault="001B67AD" w:rsidP="001B67AD">
      <w:pPr>
        <w:pStyle w:val="NoSpacing"/>
        <w:rPr>
          <w:rFonts w:ascii="Arial" w:hAnsi="Arial" w:cs="Arial"/>
        </w:rPr>
      </w:pPr>
      <w:r w:rsidRPr="009A1AA5">
        <w:rPr>
          <w:rFonts w:ascii="Arial" w:hAnsi="Arial" w:cs="Arial"/>
          <w:b/>
          <w:bCs/>
        </w:rPr>
        <w:t>RECOMMENDATIONS:</w:t>
      </w:r>
    </w:p>
    <w:p w:rsidR="001B67AD" w:rsidRPr="009A1AA5" w:rsidRDefault="001B67AD" w:rsidP="001B67AD">
      <w:pPr>
        <w:pStyle w:val="NoSpacing"/>
        <w:rPr>
          <w:rFonts w:ascii="Arial" w:hAnsi="Arial" w:cs="Arial"/>
        </w:rPr>
      </w:pPr>
    </w:p>
    <w:p w:rsidR="001B67AD" w:rsidRPr="009A1AA5" w:rsidRDefault="001B67AD" w:rsidP="001B67AD">
      <w:pPr>
        <w:pStyle w:val="NoSpacing"/>
        <w:numPr>
          <w:ilvl w:val="0"/>
          <w:numId w:val="2"/>
        </w:numPr>
        <w:rPr>
          <w:rFonts w:ascii="Arial" w:hAnsi="Arial" w:cs="Arial"/>
          <w:b/>
          <w:bCs/>
        </w:rPr>
      </w:pPr>
      <w:r w:rsidRPr="009A1AA5">
        <w:rPr>
          <w:rFonts w:ascii="Arial" w:hAnsi="Arial" w:cs="Arial"/>
          <w:b/>
          <w:bCs/>
        </w:rPr>
        <w:t xml:space="preserve">Leverage the UDI as the link between various FDA databases. Change all references to the UDI in FDA submissions and reporting requirements from optional to </w:t>
      </w:r>
      <w:proofErr w:type="gramStart"/>
      <w:r w:rsidRPr="009A1AA5">
        <w:rPr>
          <w:rFonts w:ascii="Arial" w:hAnsi="Arial" w:cs="Arial"/>
          <w:b/>
          <w:bCs/>
        </w:rPr>
        <w:t>required</w:t>
      </w:r>
      <w:proofErr w:type="gramEnd"/>
      <w:r w:rsidRPr="009A1AA5">
        <w:rPr>
          <w:rFonts w:ascii="Arial" w:hAnsi="Arial" w:cs="Arial"/>
          <w:b/>
          <w:bCs/>
        </w:rPr>
        <w:t>. Add the UDI-DI and UDI-PI as consistently required in Adverse Events and Recalls when the UDI is on the label of the device.</w:t>
      </w:r>
      <w:r w:rsidR="002E7F72">
        <w:rPr>
          <w:rFonts w:ascii="Arial" w:hAnsi="Arial" w:cs="Arial"/>
          <w:b/>
          <w:bCs/>
        </w:rPr>
        <w:br/>
      </w:r>
    </w:p>
    <w:p w:rsidR="001B67AD" w:rsidRPr="009A1AA5" w:rsidRDefault="001B67AD" w:rsidP="001B67AD">
      <w:pPr>
        <w:pStyle w:val="NoSpacing"/>
        <w:numPr>
          <w:ilvl w:val="0"/>
          <w:numId w:val="3"/>
        </w:numPr>
        <w:rPr>
          <w:rFonts w:ascii="Arial" w:hAnsi="Arial" w:cs="Arial"/>
        </w:rPr>
      </w:pPr>
      <w:r w:rsidRPr="009A1AA5">
        <w:rPr>
          <w:rFonts w:ascii="Arial" w:hAnsi="Arial" w:cs="Arial"/>
        </w:rPr>
        <w:t>The UDI was designed to be the unique identifier that would allow medical devices to be tracked from manufacture through the supply chain and point of use, and into the patient record. It was designed to facilitate connecting patient level data to specific medical devices to enable the collection of real-world evidence.</w:t>
      </w:r>
    </w:p>
    <w:p w:rsidR="001B67AD" w:rsidRPr="002E7F72" w:rsidRDefault="001B67AD" w:rsidP="001B67AD">
      <w:pPr>
        <w:pStyle w:val="NoSpacing"/>
        <w:numPr>
          <w:ilvl w:val="0"/>
          <w:numId w:val="3"/>
        </w:numPr>
        <w:rPr>
          <w:rFonts w:ascii="Arial" w:hAnsi="Arial" w:cs="Arial"/>
        </w:rPr>
      </w:pPr>
      <w:r w:rsidRPr="009A1AA5">
        <w:rPr>
          <w:rFonts w:ascii="Arial" w:hAnsi="Arial" w:cs="Arial"/>
        </w:rPr>
        <w:t>There has been a significant investment implementing FDA, ONC and CMS requirements related to the UDI but the UDI’s potential has not been achieved due to the lack of structured data that would support interoperability and connect the information from various FDA data bases with information from health care systems.</w:t>
      </w:r>
    </w:p>
    <w:p w:rsidR="001B67AD" w:rsidRPr="009A1AA5" w:rsidRDefault="001B67AD" w:rsidP="001B67AD">
      <w:pPr>
        <w:pStyle w:val="NoSpacing"/>
        <w:rPr>
          <w:rFonts w:ascii="Arial" w:hAnsi="Arial" w:cs="Arial"/>
        </w:rPr>
      </w:pPr>
    </w:p>
    <w:p w:rsidR="003D2171" w:rsidRDefault="001B67AD" w:rsidP="003D2171">
      <w:pPr>
        <w:pStyle w:val="NoSpacing"/>
        <w:numPr>
          <w:ilvl w:val="0"/>
          <w:numId w:val="2"/>
        </w:numPr>
        <w:rPr>
          <w:rFonts w:ascii="Arial" w:hAnsi="Arial" w:cs="Arial"/>
          <w:b/>
          <w:bCs/>
        </w:rPr>
      </w:pPr>
      <w:r w:rsidRPr="009A1AA5">
        <w:rPr>
          <w:rFonts w:ascii="Arial" w:hAnsi="Arial" w:cs="Arial"/>
          <w:b/>
          <w:bCs/>
        </w:rPr>
        <w:t>Reduce redundancy and enhance data quality by using the GUDID as the master data source for product data to auto-populate adverse event, recall and other manufacturer submissions to FDA CDRH.</w:t>
      </w:r>
    </w:p>
    <w:p w:rsidR="003D2171" w:rsidRDefault="003D2171" w:rsidP="003D2171">
      <w:pPr>
        <w:pStyle w:val="NoSpacing"/>
        <w:ind w:left="720"/>
        <w:rPr>
          <w:rFonts w:ascii="Arial" w:hAnsi="Arial" w:cs="Arial"/>
          <w:b/>
          <w:bCs/>
        </w:rPr>
      </w:pPr>
    </w:p>
    <w:p w:rsidR="003D2171" w:rsidRPr="003D2171" w:rsidRDefault="003D2171" w:rsidP="003D2171">
      <w:pPr>
        <w:pStyle w:val="NoSpacing"/>
        <w:numPr>
          <w:ilvl w:val="0"/>
          <w:numId w:val="4"/>
        </w:numPr>
        <w:rPr>
          <w:rFonts w:ascii="Arial" w:hAnsi="Arial" w:cs="Arial"/>
        </w:rPr>
      </w:pPr>
      <w:r w:rsidRPr="009A1AA5">
        <w:rPr>
          <w:rFonts w:ascii="Arial" w:hAnsi="Arial" w:cs="Arial"/>
        </w:rPr>
        <w:t xml:space="preserve">Using </w:t>
      </w:r>
      <w:proofErr w:type="spellStart"/>
      <w:r w:rsidRPr="009A1AA5">
        <w:rPr>
          <w:rFonts w:ascii="Arial" w:hAnsi="Arial" w:cs="Arial"/>
        </w:rPr>
        <w:t>AccessGUDID</w:t>
      </w:r>
      <w:proofErr w:type="spellEnd"/>
      <w:r w:rsidRPr="009A1AA5">
        <w:rPr>
          <w:rFonts w:ascii="Arial" w:hAnsi="Arial" w:cs="Arial"/>
        </w:rPr>
        <w:t xml:space="preserve"> to auto populate other FDA submissions would reduce the burden on manufactures while simultaneously encouraging them to fully populate the GUDID with timely, accurate information.</w:t>
      </w:r>
      <w:r>
        <w:rPr>
          <w:rFonts w:ascii="Arial" w:hAnsi="Arial" w:cs="Arial"/>
        </w:rPr>
        <w:br/>
      </w:r>
      <w:r>
        <w:rPr>
          <w:rFonts w:ascii="Arial" w:hAnsi="Arial" w:cs="Arial"/>
        </w:rPr>
        <w:br/>
      </w:r>
      <w:r>
        <w:rPr>
          <w:rFonts w:ascii="Arial" w:hAnsi="Arial" w:cs="Arial"/>
        </w:rPr>
        <w:br/>
      </w:r>
    </w:p>
    <w:p w:rsidR="003D2171" w:rsidRDefault="003D2171" w:rsidP="003D2171">
      <w:pPr>
        <w:pStyle w:val="NoSpacing"/>
        <w:rPr>
          <w:rFonts w:ascii="Arial" w:hAnsi="Arial" w:cs="Arial"/>
          <w:b/>
          <w:bCs/>
        </w:rPr>
      </w:pPr>
    </w:p>
    <w:p w:rsidR="001B67AD" w:rsidRPr="003D2171" w:rsidRDefault="001B67AD" w:rsidP="003D2171">
      <w:pPr>
        <w:pStyle w:val="NoSpacing"/>
        <w:numPr>
          <w:ilvl w:val="0"/>
          <w:numId w:val="2"/>
        </w:numPr>
        <w:rPr>
          <w:rFonts w:ascii="Arial" w:hAnsi="Arial" w:cs="Arial"/>
          <w:b/>
          <w:bCs/>
        </w:rPr>
      </w:pPr>
      <w:r w:rsidRPr="003D2171">
        <w:rPr>
          <w:rFonts w:ascii="Arial" w:hAnsi="Arial" w:cs="Arial"/>
          <w:b/>
          <w:bCs/>
        </w:rPr>
        <w:t>Set up and appropriately staff a data quality assurance process that includes enforcement of minimum UDI requirements by manufacturers as well as collaborative</w:t>
      </w:r>
      <w:r w:rsidRPr="003D2171">
        <w:rPr>
          <w:rFonts w:ascii="Arial" w:hAnsi="Arial" w:cs="Arial"/>
        </w:rPr>
        <w:br/>
      </w:r>
      <w:r w:rsidRPr="003D2171">
        <w:rPr>
          <w:rFonts w:ascii="Arial" w:hAnsi="Arial" w:cs="Arial"/>
          <w:b/>
          <w:bCs/>
        </w:rPr>
        <w:t>efforts with data users to encourage reporting and correction of data errors.</w:t>
      </w:r>
      <w:r w:rsidRPr="003D2171">
        <w:rPr>
          <w:rFonts w:ascii="Arial" w:hAnsi="Arial" w:cs="Arial"/>
          <w:b/>
          <w:bCs/>
        </w:rPr>
        <w:br/>
      </w:r>
    </w:p>
    <w:p w:rsidR="001B67AD" w:rsidRPr="009A1AA5" w:rsidRDefault="001B67AD" w:rsidP="001B67AD">
      <w:pPr>
        <w:pStyle w:val="NoSpacing"/>
        <w:numPr>
          <w:ilvl w:val="0"/>
          <w:numId w:val="4"/>
        </w:numPr>
        <w:rPr>
          <w:rFonts w:ascii="Arial" w:hAnsi="Arial" w:cs="Arial"/>
        </w:rPr>
      </w:pPr>
      <w:r w:rsidRPr="009A1AA5">
        <w:rPr>
          <w:rFonts w:ascii="Arial" w:hAnsi="Arial" w:cs="Arial"/>
        </w:rPr>
        <w:t xml:space="preserve">A significant barrier to broader adoption of the UDI is related to missing and inaccurate data in the GUDID.  </w:t>
      </w:r>
    </w:p>
    <w:p w:rsidR="001B67AD" w:rsidRPr="009A1AA5" w:rsidRDefault="001B67AD" w:rsidP="001B67AD">
      <w:pPr>
        <w:pStyle w:val="NoSpacing"/>
        <w:rPr>
          <w:rFonts w:ascii="Arial" w:hAnsi="Arial" w:cs="Arial"/>
        </w:rPr>
      </w:pPr>
    </w:p>
    <w:p w:rsidR="001B67AD" w:rsidRPr="009A1AA5" w:rsidRDefault="001B67AD" w:rsidP="001B67AD">
      <w:pPr>
        <w:pStyle w:val="NoSpacing"/>
        <w:numPr>
          <w:ilvl w:val="0"/>
          <w:numId w:val="2"/>
        </w:numPr>
        <w:rPr>
          <w:rFonts w:ascii="Arial" w:hAnsi="Arial" w:cs="Arial"/>
          <w:b/>
          <w:bCs/>
        </w:rPr>
      </w:pPr>
      <w:r w:rsidRPr="009A1AA5">
        <w:rPr>
          <w:rFonts w:ascii="Arial" w:hAnsi="Arial" w:cs="Arial"/>
          <w:b/>
          <w:bCs/>
        </w:rPr>
        <w:t>Create a streamlined and digitized process for reporting adverse events and recalls.  Ensure common data fields (which require the UDI-DI and UDI-PI) with common definitions are used consistently by manufacturers</w:t>
      </w:r>
      <w:r>
        <w:rPr>
          <w:rFonts w:ascii="Arial" w:hAnsi="Arial" w:cs="Arial"/>
          <w:b/>
          <w:bCs/>
        </w:rPr>
        <w:t>.</w:t>
      </w:r>
      <w:r w:rsidRPr="009A1AA5">
        <w:rPr>
          <w:rFonts w:ascii="Arial" w:hAnsi="Arial" w:cs="Arial"/>
          <w:b/>
          <w:bCs/>
        </w:rPr>
        <w:t xml:space="preserve"> Make manufacturer’s electronic submissions immediately available to health care providers and other stakeholders involved in adverse event and recall processes. Simplify the electronic reporting process by enabling a scan of the barcode containing the UDI to auto populate fields and ensuring there is one data dictionary across the FDA.</w:t>
      </w:r>
      <w:r w:rsidR="002E7F72">
        <w:rPr>
          <w:rFonts w:ascii="Arial" w:hAnsi="Arial" w:cs="Arial"/>
          <w:b/>
          <w:bCs/>
        </w:rPr>
        <w:br/>
      </w:r>
    </w:p>
    <w:p w:rsidR="001B67AD" w:rsidRPr="009A1AA5" w:rsidRDefault="001B67AD" w:rsidP="001B67AD">
      <w:pPr>
        <w:pStyle w:val="NoSpacing"/>
        <w:numPr>
          <w:ilvl w:val="0"/>
          <w:numId w:val="4"/>
        </w:numPr>
        <w:rPr>
          <w:rFonts w:ascii="Arial" w:hAnsi="Arial" w:cs="Arial"/>
        </w:rPr>
      </w:pPr>
      <w:r w:rsidRPr="009A1AA5">
        <w:rPr>
          <w:rFonts w:ascii="Arial" w:hAnsi="Arial" w:cs="Arial"/>
        </w:rPr>
        <w:t>The current manual, paper-based recall process is inefficient and ineffective with the potential to compromise patient safety. The following are all the different FDA data sources for recall and adverse event data. The same query posed to each source yields different results. Additionally, the process is totally different for medical devices, biologicals and drugs.</w:t>
      </w:r>
    </w:p>
    <w:p w:rsidR="001B67AD" w:rsidRPr="009A1AA5" w:rsidRDefault="001B67AD" w:rsidP="001B67AD">
      <w:pPr>
        <w:pStyle w:val="NoSpacing"/>
        <w:ind w:left="1440"/>
        <w:rPr>
          <w:rFonts w:ascii="Arial" w:hAnsi="Arial" w:cs="Arial"/>
        </w:rPr>
      </w:pPr>
      <w:r w:rsidRPr="009A1AA5">
        <w:rPr>
          <w:rFonts w:ascii="Arial" w:hAnsi="Arial" w:cs="Arial"/>
        </w:rPr>
        <w:t>Recall data sources:</w:t>
      </w:r>
    </w:p>
    <w:p w:rsidR="001B67AD" w:rsidRPr="009A1AA5" w:rsidRDefault="001B67AD" w:rsidP="001B67AD">
      <w:pPr>
        <w:pStyle w:val="NoSpacing"/>
        <w:numPr>
          <w:ilvl w:val="0"/>
          <w:numId w:val="5"/>
        </w:numPr>
        <w:rPr>
          <w:rFonts w:ascii="Arial" w:hAnsi="Arial" w:cs="Arial"/>
        </w:rPr>
      </w:pPr>
      <w:r w:rsidRPr="009A1AA5">
        <w:rPr>
          <w:rFonts w:ascii="Arial" w:hAnsi="Arial" w:cs="Arial"/>
        </w:rPr>
        <w:t xml:space="preserve">Medical Device Recall (Yearly Lists). </w:t>
      </w:r>
    </w:p>
    <w:p w:rsidR="001B67AD" w:rsidRPr="009A1AA5" w:rsidRDefault="001B67AD" w:rsidP="001B67AD">
      <w:pPr>
        <w:pStyle w:val="NoSpacing"/>
        <w:numPr>
          <w:ilvl w:val="0"/>
          <w:numId w:val="5"/>
        </w:numPr>
        <w:rPr>
          <w:rFonts w:ascii="Arial" w:hAnsi="Arial" w:cs="Arial"/>
        </w:rPr>
      </w:pPr>
      <w:r w:rsidRPr="009A1AA5">
        <w:rPr>
          <w:rFonts w:ascii="Arial" w:hAnsi="Arial" w:cs="Arial"/>
        </w:rPr>
        <w:t xml:space="preserve">Medical Device Recall (Database). </w:t>
      </w:r>
    </w:p>
    <w:p w:rsidR="001B67AD" w:rsidRPr="009A1AA5" w:rsidRDefault="001B67AD" w:rsidP="001B67AD">
      <w:pPr>
        <w:pStyle w:val="NoSpacing"/>
        <w:numPr>
          <w:ilvl w:val="0"/>
          <w:numId w:val="5"/>
        </w:numPr>
        <w:rPr>
          <w:rFonts w:ascii="Arial" w:hAnsi="Arial" w:cs="Arial"/>
        </w:rPr>
      </w:pPr>
      <w:proofErr w:type="spellStart"/>
      <w:r w:rsidRPr="009A1AA5">
        <w:rPr>
          <w:rFonts w:ascii="Arial" w:hAnsi="Arial" w:cs="Arial"/>
        </w:rPr>
        <w:t>OpenFDA</w:t>
      </w:r>
      <w:proofErr w:type="spellEnd"/>
      <w:r w:rsidRPr="009A1AA5">
        <w:rPr>
          <w:rFonts w:ascii="Arial" w:hAnsi="Arial" w:cs="Arial"/>
        </w:rPr>
        <w:t xml:space="preserve">.  </w:t>
      </w:r>
    </w:p>
    <w:p w:rsidR="001B67AD" w:rsidRPr="009A1AA5" w:rsidRDefault="001B67AD" w:rsidP="001B67AD">
      <w:pPr>
        <w:pStyle w:val="NoSpacing"/>
        <w:numPr>
          <w:ilvl w:val="0"/>
          <w:numId w:val="5"/>
        </w:numPr>
        <w:rPr>
          <w:rFonts w:ascii="Arial" w:hAnsi="Arial" w:cs="Arial"/>
        </w:rPr>
      </w:pPr>
      <w:r w:rsidRPr="009A1AA5">
        <w:rPr>
          <w:rFonts w:ascii="Arial" w:hAnsi="Arial" w:cs="Arial"/>
        </w:rPr>
        <w:t xml:space="preserve">Compliance Dashboard. </w:t>
      </w:r>
    </w:p>
    <w:p w:rsidR="001B67AD" w:rsidRPr="009A1AA5" w:rsidRDefault="001B67AD" w:rsidP="001B67AD">
      <w:pPr>
        <w:pStyle w:val="NoSpacing"/>
        <w:numPr>
          <w:ilvl w:val="0"/>
          <w:numId w:val="5"/>
        </w:numPr>
        <w:rPr>
          <w:rFonts w:ascii="Arial" w:hAnsi="Arial" w:cs="Arial"/>
        </w:rPr>
      </w:pPr>
      <w:r w:rsidRPr="009A1AA5">
        <w:rPr>
          <w:rFonts w:ascii="Arial" w:hAnsi="Arial" w:cs="Arial"/>
        </w:rPr>
        <w:t xml:space="preserve">Enforcement Reports. </w:t>
      </w:r>
    </w:p>
    <w:p w:rsidR="001B67AD" w:rsidRPr="009A1AA5" w:rsidRDefault="001B67AD" w:rsidP="001B67AD">
      <w:pPr>
        <w:pStyle w:val="NoSpacing"/>
        <w:numPr>
          <w:ilvl w:val="0"/>
          <w:numId w:val="5"/>
        </w:numPr>
        <w:rPr>
          <w:rFonts w:ascii="Arial" w:hAnsi="Arial" w:cs="Arial"/>
        </w:rPr>
      </w:pPr>
      <w:r w:rsidRPr="009A1AA5">
        <w:rPr>
          <w:rFonts w:ascii="Arial" w:hAnsi="Arial" w:cs="Arial"/>
        </w:rPr>
        <w:t xml:space="preserve">Recalls, Market Withdrawals and Safety Alerts. </w:t>
      </w:r>
    </w:p>
    <w:p w:rsidR="001B67AD" w:rsidRPr="009A1AA5" w:rsidRDefault="001B67AD" w:rsidP="001B67AD">
      <w:pPr>
        <w:pStyle w:val="NoSpacing"/>
        <w:numPr>
          <w:ilvl w:val="0"/>
          <w:numId w:val="5"/>
        </w:numPr>
        <w:rPr>
          <w:rFonts w:ascii="Arial" w:hAnsi="Arial" w:cs="Arial"/>
        </w:rPr>
      </w:pPr>
      <w:r w:rsidRPr="009A1AA5">
        <w:rPr>
          <w:rFonts w:ascii="Arial" w:hAnsi="Arial" w:cs="Arial"/>
        </w:rPr>
        <w:t xml:space="preserve">Additional Information about Recalls. </w:t>
      </w:r>
    </w:p>
    <w:p w:rsidR="001B67AD" w:rsidRPr="009A1AA5" w:rsidRDefault="001B67AD" w:rsidP="001B67AD">
      <w:pPr>
        <w:pStyle w:val="NoSpacing"/>
        <w:numPr>
          <w:ilvl w:val="0"/>
          <w:numId w:val="5"/>
        </w:numPr>
        <w:rPr>
          <w:rFonts w:ascii="Arial" w:hAnsi="Arial" w:cs="Arial"/>
        </w:rPr>
      </w:pPr>
      <w:r w:rsidRPr="009A1AA5">
        <w:rPr>
          <w:rFonts w:ascii="Arial" w:hAnsi="Arial" w:cs="Arial"/>
        </w:rPr>
        <w:t xml:space="preserve">Archive for Recalls, Market Withdrawals &amp; Safety Alerts. </w:t>
      </w:r>
    </w:p>
    <w:p w:rsidR="001B67AD" w:rsidRPr="009A1AA5" w:rsidRDefault="001B67AD" w:rsidP="001B67AD">
      <w:pPr>
        <w:pStyle w:val="NoSpacing"/>
        <w:numPr>
          <w:ilvl w:val="0"/>
          <w:numId w:val="5"/>
        </w:numPr>
        <w:rPr>
          <w:rFonts w:ascii="Arial" w:hAnsi="Arial" w:cs="Arial"/>
        </w:rPr>
      </w:pPr>
      <w:r w:rsidRPr="009A1AA5">
        <w:rPr>
          <w:rFonts w:ascii="Arial" w:hAnsi="Arial" w:cs="Arial"/>
        </w:rPr>
        <w:t>FDA.gov Archive.</w:t>
      </w:r>
    </w:p>
    <w:p w:rsidR="001B67AD" w:rsidRPr="009A1AA5" w:rsidRDefault="001B67AD" w:rsidP="001B67AD">
      <w:pPr>
        <w:pStyle w:val="NoSpacing"/>
        <w:ind w:left="1080" w:firstLine="360"/>
        <w:rPr>
          <w:rFonts w:ascii="Arial" w:hAnsi="Arial" w:cs="Arial"/>
        </w:rPr>
      </w:pPr>
      <w:r w:rsidRPr="009A1AA5">
        <w:rPr>
          <w:rFonts w:ascii="Arial" w:hAnsi="Arial" w:cs="Arial"/>
        </w:rPr>
        <w:t>Adverse Events Data Sources</w:t>
      </w:r>
    </w:p>
    <w:p w:rsidR="001B67AD" w:rsidRPr="001B67AD" w:rsidRDefault="001B67AD" w:rsidP="001B67AD">
      <w:pPr>
        <w:pStyle w:val="m-1345085634240976821msolistparagraph"/>
        <w:numPr>
          <w:ilvl w:val="0"/>
          <w:numId w:val="6"/>
        </w:numPr>
        <w:shd w:val="clear" w:color="auto" w:fill="FFFFFF"/>
        <w:spacing w:before="0" w:beforeAutospacing="0" w:after="0" w:afterAutospacing="0"/>
        <w:rPr>
          <w:rFonts w:ascii="Arial" w:hAnsi="Arial" w:cs="Arial"/>
          <w:color w:val="003087"/>
          <w:sz w:val="22"/>
          <w:szCs w:val="22"/>
        </w:rPr>
      </w:pPr>
      <w:hyperlink r:id="rId7" w:tgtFrame="_blank" w:history="1">
        <w:r w:rsidRPr="001B67AD">
          <w:rPr>
            <w:rStyle w:val="Hyperlink"/>
            <w:rFonts w:ascii="Arial" w:hAnsi="Arial" w:cs="Arial"/>
            <w:color w:val="003087"/>
            <w:sz w:val="22"/>
            <w:szCs w:val="22"/>
          </w:rPr>
          <w:t>MAUDE</w:t>
        </w:r>
      </w:hyperlink>
    </w:p>
    <w:p w:rsidR="001B67AD" w:rsidRPr="001B67AD" w:rsidRDefault="001B67AD" w:rsidP="001B67AD">
      <w:pPr>
        <w:pStyle w:val="m-1345085634240976821msolistparagraph"/>
        <w:numPr>
          <w:ilvl w:val="0"/>
          <w:numId w:val="6"/>
        </w:numPr>
        <w:shd w:val="clear" w:color="auto" w:fill="FFFFFF"/>
        <w:spacing w:before="0" w:beforeAutospacing="0" w:after="0" w:afterAutospacing="0"/>
        <w:rPr>
          <w:rFonts w:ascii="Arial" w:hAnsi="Arial" w:cs="Arial"/>
          <w:color w:val="003087"/>
          <w:sz w:val="22"/>
          <w:szCs w:val="22"/>
        </w:rPr>
      </w:pPr>
      <w:hyperlink r:id="rId8" w:tgtFrame="_blank" w:history="1">
        <w:proofErr w:type="spellStart"/>
        <w:r w:rsidRPr="001B67AD">
          <w:rPr>
            <w:rStyle w:val="Hyperlink"/>
            <w:rFonts w:ascii="Arial" w:hAnsi="Arial" w:cs="Arial"/>
            <w:color w:val="003087"/>
            <w:sz w:val="22"/>
            <w:szCs w:val="22"/>
          </w:rPr>
          <w:t>MedSun</w:t>
        </w:r>
        <w:proofErr w:type="spellEnd"/>
      </w:hyperlink>
    </w:p>
    <w:p w:rsidR="001B67AD" w:rsidRPr="009A1AA5" w:rsidRDefault="001B67AD" w:rsidP="001B67AD">
      <w:pPr>
        <w:pStyle w:val="NoSpacing"/>
        <w:numPr>
          <w:ilvl w:val="0"/>
          <w:numId w:val="4"/>
        </w:numPr>
        <w:rPr>
          <w:rFonts w:ascii="Arial" w:hAnsi="Arial" w:cs="Arial"/>
        </w:rPr>
      </w:pPr>
      <w:r w:rsidRPr="009A1AA5">
        <w:rPr>
          <w:rFonts w:ascii="Arial" w:hAnsi="Arial" w:cs="Arial"/>
        </w:rPr>
        <w:t>There is no consistency between manufacturers regarding which information is included in a recall notice. The time lag between a manufacturer issuing a recall notice to its customers and the time FDA classifies the recall can be months.</w:t>
      </w:r>
    </w:p>
    <w:p w:rsidR="001B67AD" w:rsidRPr="009A1AA5" w:rsidRDefault="001B67AD" w:rsidP="001B67AD">
      <w:pPr>
        <w:pStyle w:val="NoSpacing"/>
        <w:ind w:left="1440"/>
        <w:rPr>
          <w:rFonts w:ascii="Arial" w:hAnsi="Arial" w:cs="Arial"/>
        </w:rPr>
      </w:pPr>
    </w:p>
    <w:p w:rsidR="001B67AD" w:rsidRPr="009A1AA5" w:rsidRDefault="001B67AD" w:rsidP="001B67AD">
      <w:pPr>
        <w:pStyle w:val="NoSpacing"/>
        <w:rPr>
          <w:rFonts w:ascii="Arial" w:hAnsi="Arial" w:cs="Arial"/>
        </w:rPr>
      </w:pPr>
      <w:r w:rsidRPr="009A1AA5">
        <w:rPr>
          <w:rFonts w:ascii="Arial" w:hAnsi="Arial" w:cs="Arial"/>
        </w:rPr>
        <w:t xml:space="preserve">Thank you for the opportunity to comment and for carefully considering the implementation of these recommendations. Please </w:t>
      </w:r>
      <w:r>
        <w:rPr>
          <w:rFonts w:ascii="Arial" w:hAnsi="Arial" w:cs="Arial"/>
        </w:rPr>
        <w:t xml:space="preserve">contact me at </w:t>
      </w:r>
      <w:hyperlink r:id="rId9" w:history="1">
        <w:r w:rsidRPr="001B67AD">
          <w:rPr>
            <w:rStyle w:val="Hyperlink"/>
            <w:rFonts w:ascii="Arial" w:hAnsi="Arial" w:cs="Arial"/>
            <w:color w:val="003087"/>
          </w:rPr>
          <w:t>mschiller@aha.org</w:t>
        </w:r>
      </w:hyperlink>
      <w:r>
        <w:rPr>
          <w:rFonts w:ascii="Arial" w:hAnsi="Arial" w:cs="Arial"/>
        </w:rPr>
        <w:t xml:space="preserve"> </w:t>
      </w:r>
      <w:r w:rsidRPr="009A1AA5">
        <w:rPr>
          <w:rFonts w:ascii="Arial" w:hAnsi="Arial" w:cs="Arial"/>
        </w:rPr>
        <w:t>if you have any questions.</w:t>
      </w:r>
    </w:p>
    <w:p w:rsidR="001B67AD" w:rsidRPr="009A1AA5" w:rsidRDefault="001B67AD" w:rsidP="001B67AD">
      <w:pPr>
        <w:pStyle w:val="NoSpacing"/>
        <w:rPr>
          <w:rFonts w:ascii="Arial" w:hAnsi="Arial" w:cs="Arial"/>
        </w:rPr>
      </w:pPr>
    </w:p>
    <w:p w:rsidR="001B67AD" w:rsidRDefault="001B67AD" w:rsidP="001B67AD">
      <w:pPr>
        <w:pStyle w:val="NoSpacing"/>
        <w:rPr>
          <w:rFonts w:ascii="Arial" w:hAnsi="Arial" w:cs="Arial"/>
        </w:rPr>
      </w:pPr>
      <w:r w:rsidRPr="009A1AA5">
        <w:rPr>
          <w:rFonts w:ascii="Arial" w:hAnsi="Arial" w:cs="Arial"/>
        </w:rPr>
        <w:t>Sincerely,</w:t>
      </w:r>
    </w:p>
    <w:p w:rsidR="001B67AD" w:rsidRDefault="001B67AD" w:rsidP="001B67AD">
      <w:pPr>
        <w:pStyle w:val="NoSpacing"/>
        <w:rPr>
          <w:rFonts w:ascii="Arial" w:hAnsi="Arial" w:cs="Arial"/>
        </w:rPr>
      </w:pPr>
    </w:p>
    <w:p w:rsidR="001B67AD" w:rsidRPr="009A1AA5" w:rsidRDefault="001B67AD" w:rsidP="001B67AD">
      <w:pPr>
        <w:pStyle w:val="NoSpacing"/>
        <w:rPr>
          <w:rFonts w:ascii="Arial" w:hAnsi="Arial" w:cs="Arial"/>
        </w:rPr>
      </w:pPr>
      <w:r>
        <w:rPr>
          <w:rFonts w:ascii="Arial" w:hAnsi="Arial" w:cs="Arial"/>
          <w:noProof/>
        </w:rPr>
        <w:drawing>
          <wp:inline distT="0" distB="0" distL="0" distR="0">
            <wp:extent cx="1587500" cy="317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iller_Michael_125_25.jpg"/>
                    <pic:cNvPicPr/>
                  </pic:nvPicPr>
                  <pic:blipFill>
                    <a:blip r:embed="rId10">
                      <a:extLst>
                        <a:ext uri="{28A0092B-C50C-407E-A947-70E740481C1C}">
                          <a14:useLocalDpi xmlns:a14="http://schemas.microsoft.com/office/drawing/2010/main" val="0"/>
                        </a:ext>
                      </a:extLst>
                    </a:blip>
                    <a:stretch>
                      <a:fillRect/>
                    </a:stretch>
                  </pic:blipFill>
                  <pic:spPr>
                    <a:xfrm>
                      <a:off x="0" y="0"/>
                      <a:ext cx="1587500" cy="317500"/>
                    </a:xfrm>
                    <a:prstGeom prst="rect">
                      <a:avLst/>
                    </a:prstGeom>
                  </pic:spPr>
                </pic:pic>
              </a:graphicData>
            </a:graphic>
          </wp:inline>
        </w:drawing>
      </w:r>
    </w:p>
    <w:p w:rsidR="001B67AD" w:rsidRPr="009A1AA5" w:rsidRDefault="001B67AD" w:rsidP="001B67AD">
      <w:pPr>
        <w:pStyle w:val="NoSpacing"/>
        <w:rPr>
          <w:rFonts w:ascii="Arial" w:hAnsi="Arial" w:cs="Arial"/>
        </w:rPr>
      </w:pPr>
    </w:p>
    <w:p w:rsidR="001B67AD" w:rsidRPr="009A1AA5" w:rsidRDefault="001B67AD" w:rsidP="001B67AD">
      <w:pPr>
        <w:pStyle w:val="NoSpacing"/>
        <w:rPr>
          <w:rFonts w:ascii="Arial" w:hAnsi="Arial" w:cs="Arial"/>
        </w:rPr>
      </w:pPr>
      <w:r w:rsidRPr="009A1AA5">
        <w:rPr>
          <w:rFonts w:ascii="Arial" w:hAnsi="Arial" w:cs="Arial"/>
        </w:rPr>
        <w:t>Michael Schiller</w:t>
      </w:r>
    </w:p>
    <w:p w:rsidR="001B67AD" w:rsidRPr="009A1AA5" w:rsidRDefault="001B67AD" w:rsidP="001B67AD">
      <w:pPr>
        <w:pStyle w:val="NoSpacing"/>
        <w:rPr>
          <w:rFonts w:ascii="Arial" w:hAnsi="Arial" w:cs="Arial"/>
        </w:rPr>
      </w:pPr>
      <w:r w:rsidRPr="009A1AA5">
        <w:rPr>
          <w:rFonts w:ascii="Arial" w:hAnsi="Arial" w:cs="Arial"/>
        </w:rPr>
        <w:t>Senior Director, AHRMM</w:t>
      </w:r>
    </w:p>
    <w:p w:rsidR="001B67AD" w:rsidRPr="009A1AA5" w:rsidRDefault="001B67AD" w:rsidP="001B67AD">
      <w:pPr>
        <w:pStyle w:val="NoSpacing"/>
        <w:rPr>
          <w:rFonts w:ascii="Arial" w:hAnsi="Arial" w:cs="Arial"/>
        </w:rPr>
      </w:pPr>
    </w:p>
    <w:p w:rsidR="001B67AD" w:rsidRPr="00CA2120" w:rsidRDefault="001B67AD" w:rsidP="001B67AD"/>
    <w:p w:rsidR="006E12F3" w:rsidRPr="0079248E" w:rsidRDefault="003D2171" w:rsidP="0079248E">
      <w:pPr>
        <w:spacing w:after="0" w:line="240" w:lineRule="auto"/>
        <w:rPr>
          <w:b/>
          <w:sz w:val="21"/>
          <w:szCs w:val="21"/>
        </w:rPr>
      </w:pPr>
      <w:bookmarkStart w:id="0" w:name="_GoBack"/>
      <w:bookmarkEnd w:id="0"/>
    </w:p>
    <w:sectPr w:rsidR="006E12F3" w:rsidRPr="0079248E" w:rsidSect="00AA42C8">
      <w:headerReference w:type="default" r:id="rId11"/>
      <w:footerReference w:type="default" r:id="rId12"/>
      <w:pgSz w:w="12240" w:h="15840"/>
      <w:pgMar w:top="1440" w:right="1080" w:bottom="540" w:left="1170" w:header="270"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482" w:rsidRDefault="00A64482" w:rsidP="00A64482">
      <w:pPr>
        <w:spacing w:after="0" w:line="240" w:lineRule="auto"/>
      </w:pPr>
      <w:r>
        <w:separator/>
      </w:r>
    </w:p>
  </w:endnote>
  <w:endnote w:type="continuationSeparator" w:id="0">
    <w:p w:rsidR="00A64482" w:rsidRDefault="00A64482" w:rsidP="00A6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16" w:rsidRDefault="00004E16">
    <w:pPr>
      <w:pStyle w:val="Footer"/>
    </w:pPr>
    <w:r>
      <w:rPr>
        <w:noProof/>
      </w:rPr>
      <mc:AlternateContent>
        <mc:Choice Requires="wps">
          <w:drawing>
            <wp:anchor distT="0" distB="0" distL="114300" distR="114300" simplePos="0" relativeHeight="251662336" behindDoc="0" locked="0" layoutInCell="1" allowOverlap="1" wp14:anchorId="0FEA79F4" wp14:editId="31554555">
              <wp:simplePos x="0" y="0"/>
              <wp:positionH relativeFrom="column">
                <wp:posOffset>-38100</wp:posOffset>
              </wp:positionH>
              <wp:positionV relativeFrom="paragraph">
                <wp:posOffset>0</wp:posOffset>
              </wp:positionV>
              <wp:extent cx="6385560" cy="38100"/>
              <wp:effectExtent l="0" t="0" r="34290" b="19050"/>
              <wp:wrapNone/>
              <wp:docPr id="19" name="Straight Connector 19"/>
              <wp:cNvGraphicFramePr/>
              <a:graphic xmlns:a="http://schemas.openxmlformats.org/drawingml/2006/main">
                <a:graphicData uri="http://schemas.microsoft.com/office/word/2010/wordprocessingShape">
                  <wps:wsp>
                    <wps:cNvCnPr/>
                    <wps:spPr>
                      <a:xfrm>
                        <a:off x="0" y="0"/>
                        <a:ext cx="6385560" cy="38100"/>
                      </a:xfrm>
                      <a:prstGeom prst="line">
                        <a:avLst/>
                      </a:prstGeom>
                      <a:ln>
                        <a:solidFill>
                          <a:schemeClr val="bg2">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07997" id="Straight Connector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0" to="49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" strokecolor="#dde0e3 [670]" strokeweight=".5pt">
              <v:stroke joinstyle="miter"/>
            </v:line>
          </w:pict>
        </mc:Fallback>
      </mc:AlternateContent>
    </w:r>
  </w:p>
  <w:p w:rsidR="00004E16" w:rsidRPr="00004E16" w:rsidRDefault="00004E16" w:rsidP="00004E16">
    <w:pPr>
      <w:pStyle w:val="Footer"/>
      <w:jc w:val="center"/>
      <w:rPr>
        <w:sz w:val="18"/>
      </w:rPr>
    </w:pPr>
    <w:r w:rsidRPr="00004E16">
      <w:rPr>
        <w:sz w:val="18"/>
      </w:rPr>
      <w:t>155 N. Wacker Drive</w:t>
    </w:r>
    <w:r>
      <w:rPr>
        <w:sz w:val="18"/>
      </w:rPr>
      <w:t xml:space="preserve"> </w:t>
    </w:r>
    <w:r w:rsidRPr="00004E16">
      <w:rPr>
        <w:sz w:val="18"/>
      </w:rPr>
      <w:t xml:space="preserve"> | </w:t>
    </w:r>
    <w:r>
      <w:rPr>
        <w:sz w:val="18"/>
      </w:rPr>
      <w:t xml:space="preserve"> </w:t>
    </w:r>
    <w:r w:rsidRPr="00004E16">
      <w:rPr>
        <w:sz w:val="18"/>
      </w:rPr>
      <w:t xml:space="preserve">Suite 400 </w:t>
    </w:r>
    <w:r>
      <w:rPr>
        <w:sz w:val="18"/>
      </w:rPr>
      <w:t xml:space="preserve"> </w:t>
    </w:r>
    <w:r w:rsidRPr="00004E16">
      <w:rPr>
        <w:sz w:val="18"/>
      </w:rPr>
      <w:t xml:space="preserve">| </w:t>
    </w:r>
    <w:r>
      <w:rPr>
        <w:sz w:val="18"/>
      </w:rPr>
      <w:t xml:space="preserve"> </w:t>
    </w:r>
    <w:r w:rsidRPr="00004E16">
      <w:rPr>
        <w:sz w:val="18"/>
      </w:rPr>
      <w:t>Chicago, IL 60606</w:t>
    </w:r>
    <w:r>
      <w:rPr>
        <w:sz w:val="18"/>
      </w:rPr>
      <w:t xml:space="preserve"> </w:t>
    </w:r>
    <w:r w:rsidRPr="00004E16">
      <w:rPr>
        <w:sz w:val="18"/>
      </w:rPr>
      <w:t xml:space="preserve"> | </w:t>
    </w:r>
    <w:r>
      <w:rPr>
        <w:sz w:val="18"/>
      </w:rPr>
      <w:t xml:space="preserve"> </w:t>
    </w:r>
    <w:r w:rsidRPr="00004E16">
      <w:rPr>
        <w:sz w:val="18"/>
      </w:rPr>
      <w:t>(312) 422-3840</w:t>
    </w:r>
    <w:r>
      <w:rPr>
        <w:sz w:val="18"/>
      </w:rPr>
      <w:t xml:space="preserve"> </w:t>
    </w:r>
    <w:r w:rsidRPr="00004E16">
      <w:rPr>
        <w:sz w:val="18"/>
      </w:rPr>
      <w:t xml:space="preserve"> |</w:t>
    </w:r>
    <w:r>
      <w:rPr>
        <w:sz w:val="18"/>
      </w:rPr>
      <w:t xml:space="preserve"> </w:t>
    </w:r>
    <w:r w:rsidRPr="00004E16">
      <w:rPr>
        <w:sz w:val="18"/>
      </w:rPr>
      <w:t xml:space="preserve"> </w:t>
    </w:r>
    <w:hyperlink r:id="rId1" w:history="1">
      <w:r w:rsidRPr="00AA42C8">
        <w:rPr>
          <w:rStyle w:val="Hyperlink"/>
          <w:color w:val="003087"/>
          <w:sz w:val="18"/>
        </w:rPr>
        <w:t>ahrmm@aha.org</w:t>
      </w:r>
    </w:hyperlink>
    <w:r w:rsidRPr="00004E16">
      <w:rPr>
        <w:sz w:val="18"/>
      </w:rPr>
      <w:t xml:space="preserve"> </w:t>
    </w:r>
    <w:r>
      <w:rPr>
        <w:sz w:val="18"/>
      </w:rPr>
      <w:t xml:space="preserve"> </w:t>
    </w:r>
    <w:r w:rsidRPr="00004E16">
      <w:rPr>
        <w:sz w:val="18"/>
      </w:rPr>
      <w:t>|</w:t>
    </w:r>
    <w:r>
      <w:rPr>
        <w:sz w:val="18"/>
      </w:rPr>
      <w:t xml:space="preserve"> </w:t>
    </w:r>
    <w:r w:rsidRPr="00004E16">
      <w:rPr>
        <w:sz w:val="18"/>
      </w:rPr>
      <w:t xml:space="preserve"> </w:t>
    </w:r>
    <w:hyperlink r:id="rId2" w:history="1">
      <w:r w:rsidRPr="00AA42C8">
        <w:rPr>
          <w:rStyle w:val="Hyperlink"/>
          <w:color w:val="003087"/>
          <w:sz w:val="18"/>
        </w:rPr>
        <w:t>www.ahrmm.org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482" w:rsidRDefault="00A64482" w:rsidP="00A64482">
      <w:pPr>
        <w:spacing w:after="0" w:line="240" w:lineRule="auto"/>
      </w:pPr>
      <w:r>
        <w:separator/>
      </w:r>
    </w:p>
  </w:footnote>
  <w:footnote w:type="continuationSeparator" w:id="0">
    <w:p w:rsidR="00A64482" w:rsidRDefault="00A64482" w:rsidP="00A64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16" w:rsidRPr="00004E16" w:rsidRDefault="00F26DC4" w:rsidP="00004E16">
    <w:pPr>
      <w:pStyle w:val="Header"/>
      <w:ind w:left="-360"/>
    </w:pPr>
    <w:r>
      <w:rPr>
        <w:noProof/>
      </w:rPr>
      <w:t xml:space="preserve">  </w:t>
    </w:r>
    <w:r w:rsidR="00AA42C8">
      <w:rPr>
        <w:noProof/>
      </w:rPr>
      <w:t xml:space="preserve">   </w:t>
    </w:r>
    <w:r w:rsidR="00AA42C8">
      <w:rPr>
        <w:noProof/>
      </w:rPr>
      <w:drawing>
        <wp:inline distT="0" distB="0" distL="0" distR="0" wp14:anchorId="3DEAC2EE" wp14:editId="7244EF3D">
          <wp:extent cx="2011680" cy="527116"/>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HRMM-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680" cy="527116"/>
                  </a:xfrm>
                  <a:prstGeom prst="rect">
                    <a:avLst/>
                  </a:prstGeom>
                </pic:spPr>
              </pic:pic>
            </a:graphicData>
          </a:graphic>
        </wp:inline>
      </w:drawing>
    </w:r>
    <w:r w:rsidR="00004E16">
      <w:rPr>
        <w:noProof/>
      </w:rPr>
      <mc:AlternateContent>
        <mc:Choice Requires="wps">
          <w:drawing>
            <wp:anchor distT="0" distB="0" distL="114300" distR="114300" simplePos="0" relativeHeight="251660288" behindDoc="0" locked="0" layoutInCell="1" allowOverlap="1">
              <wp:simplePos x="0" y="0"/>
              <wp:positionH relativeFrom="column">
                <wp:posOffset>-102870</wp:posOffset>
              </wp:positionH>
              <wp:positionV relativeFrom="paragraph">
                <wp:posOffset>640080</wp:posOffset>
              </wp:positionV>
              <wp:extent cx="6385560" cy="3810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6385560" cy="38100"/>
                      </a:xfrm>
                      <a:prstGeom prst="line">
                        <a:avLst/>
                      </a:prstGeom>
                      <a:ln>
                        <a:solidFill>
                          <a:schemeClr val="bg2">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7B84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50.4pt" to="494.7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" strokecolor="#dde0e3 [670]" strokeweight=".5pt">
              <v:stroke joinstyle="miter"/>
            </v:line>
          </w:pict>
        </mc:Fallback>
      </mc:AlternateContent>
    </w:r>
    <w:r w:rsidR="00AA42C8">
      <w:rPr>
        <w:noProof/>
      </w:rPr>
      <w:t xml:space="preserve">  </w:t>
    </w:r>
    <w:r w:rsidR="002E3995">
      <w:rPr>
        <w:noProof/>
      </w:rPr>
      <w:t xml:space="preserve">          </w:t>
    </w:r>
    <w:r w:rsidR="00AA42C8">
      <w:rPr>
        <w:noProof/>
      </w:rPr>
      <w:t xml:space="preserve">   </w:t>
    </w:r>
    <w:r w:rsidR="00F95BC7">
      <w:rPr>
        <w:noProof/>
      </w:rPr>
      <w:drawing>
        <wp:inline distT="0" distB="0" distL="0" distR="0" wp14:anchorId="0485BEAB" wp14:editId="19F06417">
          <wp:extent cx="1680231" cy="548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hrmmCQO-CMYK-2018-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0231" cy="548640"/>
                  </a:xfrm>
                  <a:prstGeom prst="rect">
                    <a:avLst/>
                  </a:prstGeom>
                </pic:spPr>
              </pic:pic>
            </a:graphicData>
          </a:graphic>
        </wp:inline>
      </w:drawing>
    </w:r>
    <w:r w:rsidR="002E3995">
      <w:rPr>
        <w:noProof/>
      </w:rPr>
      <w:t xml:space="preserve">         </w:t>
    </w:r>
    <w:r w:rsidR="00AA42C8">
      <w:rPr>
        <w:noProof/>
      </w:rPr>
      <w:t xml:space="preserve">      </w:t>
    </w:r>
    <w:r w:rsidR="00F95BC7">
      <w:rPr>
        <w:noProof/>
      </w:rPr>
      <w:drawing>
        <wp:inline distT="0" distB="0" distL="0" distR="0">
          <wp:extent cx="1474744"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hia-horizontal-colo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4744" cy="548640"/>
                  </a:xfrm>
                  <a:prstGeom prst="rect">
                    <a:avLst/>
                  </a:prstGeom>
                </pic:spPr>
              </pic:pic>
            </a:graphicData>
          </a:graphic>
        </wp:inline>
      </w:drawing>
    </w:r>
    <w:r w:rsidR="00AA42C8">
      <w:rPr>
        <w:noProof/>
      </w:rPr>
      <w:t xml:space="preserve">                                   </w:t>
    </w:r>
    <w:r>
      <w:rPr>
        <w:noProof/>
      </w:rPr>
      <w:t xml:space="preserve">        </w:t>
    </w:r>
    <w:r w:rsidR="00AA42C8">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5303C"/>
    <w:multiLevelType w:val="hybridMultilevel"/>
    <w:tmpl w:val="42B2F3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45D082E"/>
    <w:multiLevelType w:val="hybridMultilevel"/>
    <w:tmpl w:val="CA420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1399F"/>
    <w:multiLevelType w:val="hybridMultilevel"/>
    <w:tmpl w:val="A29A8AEE"/>
    <w:lvl w:ilvl="0" w:tplc="C88C1C8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C043CA"/>
    <w:multiLevelType w:val="hybridMultilevel"/>
    <w:tmpl w:val="DAF8ED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8530773"/>
    <w:multiLevelType w:val="multilevel"/>
    <w:tmpl w:val="CA420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3221DE"/>
    <w:multiLevelType w:val="hybridMultilevel"/>
    <w:tmpl w:val="15E8D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B46081"/>
    <w:multiLevelType w:val="hybridMultilevel"/>
    <w:tmpl w:val="0B6A6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024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zNzOzsLQ0MTWxsDBQ0lEKTi0uzszPAykwrAUA6ZleiSwAAAA="/>
  </w:docVars>
  <w:rsids>
    <w:rsidRoot w:val="00A64482"/>
    <w:rsid w:val="00004E16"/>
    <w:rsid w:val="001B67AD"/>
    <w:rsid w:val="002E3995"/>
    <w:rsid w:val="002E7F72"/>
    <w:rsid w:val="003D2171"/>
    <w:rsid w:val="006110FE"/>
    <w:rsid w:val="0079248E"/>
    <w:rsid w:val="00914E8D"/>
    <w:rsid w:val="00A64482"/>
    <w:rsid w:val="00AA42C8"/>
    <w:rsid w:val="00B64FEA"/>
    <w:rsid w:val="00DD4363"/>
    <w:rsid w:val="00EC68CD"/>
    <w:rsid w:val="00F26DC4"/>
    <w:rsid w:val="00F9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o:shapedefaults>
    <o:shapelayout v:ext="edit">
      <o:idmap v:ext="edit" data="1"/>
    </o:shapelayout>
  </w:shapeDefaults>
  <w:decimalSymbol w:val="."/>
  <w:listSeparator w:val=","/>
  <w14:docId w14:val="208528AC"/>
  <w15:chartTrackingRefBased/>
  <w15:docId w15:val="{095A3EB2-EDB8-4D0B-9DA8-23EE1098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482"/>
  </w:style>
  <w:style w:type="paragraph" w:styleId="Footer">
    <w:name w:val="footer"/>
    <w:basedOn w:val="Normal"/>
    <w:link w:val="FooterChar"/>
    <w:uiPriority w:val="99"/>
    <w:unhideWhenUsed/>
    <w:rsid w:val="00A64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482"/>
  </w:style>
  <w:style w:type="character" w:styleId="Hyperlink">
    <w:name w:val="Hyperlink"/>
    <w:basedOn w:val="DefaultParagraphFont"/>
    <w:uiPriority w:val="99"/>
    <w:unhideWhenUsed/>
    <w:rsid w:val="00004E16"/>
    <w:rPr>
      <w:color w:val="70BFC3" w:themeColor="hyperlink"/>
      <w:u w:val="single"/>
    </w:rPr>
  </w:style>
  <w:style w:type="paragraph" w:styleId="ListParagraph">
    <w:name w:val="List Paragraph"/>
    <w:basedOn w:val="Normal"/>
    <w:uiPriority w:val="34"/>
    <w:qFormat/>
    <w:rsid w:val="00AA42C8"/>
    <w:pPr>
      <w:ind w:left="720"/>
      <w:contextualSpacing/>
    </w:pPr>
  </w:style>
  <w:style w:type="character" w:styleId="Strong">
    <w:name w:val="Strong"/>
    <w:basedOn w:val="DefaultParagraphFont"/>
    <w:uiPriority w:val="22"/>
    <w:qFormat/>
    <w:rsid w:val="00AA42C8"/>
    <w:rPr>
      <w:b/>
      <w:bCs/>
    </w:rPr>
  </w:style>
  <w:style w:type="paragraph" w:styleId="NoSpacing">
    <w:name w:val="No Spacing"/>
    <w:uiPriority w:val="1"/>
    <w:qFormat/>
    <w:rsid w:val="001B67AD"/>
    <w:pPr>
      <w:spacing w:after="0" w:line="240" w:lineRule="auto"/>
    </w:pPr>
  </w:style>
  <w:style w:type="paragraph" w:customStyle="1" w:styleId="m-1345085634240976821msolistparagraph">
    <w:name w:val="m_-1345085634240976821msolistparagraph"/>
    <w:basedOn w:val="Normal"/>
    <w:rsid w:val="001B67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data.fda.gov/scripts/cdrh/cfdocs/Medsun/searchreport.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cessdata.fda.gov/scripts/cdrh/cfdocs/cfMAUDE/search.CF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mschiller@ah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hrmm.org" TargetMode="External"/><Relationship Id="rId1" Type="http://schemas.openxmlformats.org/officeDocument/2006/relationships/hyperlink" Target="mailto:ahrmm@aha.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5">
      <a:dk1>
        <a:srgbClr val="ECB221"/>
      </a:dk1>
      <a:lt1>
        <a:srgbClr val="FFFFFF"/>
      </a:lt1>
      <a:dk2>
        <a:srgbClr val="0069A6"/>
      </a:dk2>
      <a:lt2>
        <a:srgbClr val="5C6670"/>
      </a:lt2>
      <a:accent1>
        <a:srgbClr val="A2C44C"/>
      </a:accent1>
      <a:accent2>
        <a:srgbClr val="ECB221"/>
      </a:accent2>
      <a:accent3>
        <a:srgbClr val="D25459"/>
      </a:accent3>
      <a:accent4>
        <a:srgbClr val="B687B8"/>
      </a:accent4>
      <a:accent5>
        <a:srgbClr val="76C4D5"/>
      </a:accent5>
      <a:accent6>
        <a:srgbClr val="85A4C3"/>
      </a:accent6>
      <a:hlink>
        <a:srgbClr val="70BFC3"/>
      </a:hlink>
      <a:folHlink>
        <a:srgbClr val="A2C44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John</dc:creator>
  <cp:keywords/>
  <dc:description/>
  <cp:lastModifiedBy>Lipowicz, Agnes</cp:lastModifiedBy>
  <cp:revision>4</cp:revision>
  <dcterms:created xsi:type="dcterms:W3CDTF">2020-07-22T16:06:00Z</dcterms:created>
  <dcterms:modified xsi:type="dcterms:W3CDTF">2020-07-22T16:11:00Z</dcterms:modified>
</cp:coreProperties>
</file>