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BE5B" w14:textId="77777777" w:rsidR="00C43F87" w:rsidRPr="004664BE" w:rsidRDefault="00C43F87" w:rsidP="00C43F87">
      <w:pPr>
        <w:rPr>
          <w:rFonts w:ascii="Calibri" w:hAnsi="Calibri" w:cs="Calibri"/>
          <w:b/>
        </w:rPr>
      </w:pPr>
    </w:p>
    <w:p w14:paraId="625AFE14" w14:textId="6CCE4A39" w:rsidR="00693D4A" w:rsidRDefault="00693D4A" w:rsidP="00693D4A">
      <w:pPr>
        <w:pStyle w:val="Heading1"/>
      </w:pPr>
      <w:r>
        <w:t>Background</w:t>
      </w:r>
    </w:p>
    <w:p w14:paraId="100481C9" w14:textId="6BAD634F" w:rsidR="00125012" w:rsidRDefault="00E64DCA" w:rsidP="00693D4A">
      <w:pPr>
        <w:rPr>
          <w:rFonts w:eastAsia="Times New Roman"/>
        </w:rPr>
      </w:pPr>
      <w:r>
        <w:rPr>
          <w:rFonts w:eastAsia="Times New Roman"/>
        </w:rPr>
        <w:t>C</w:t>
      </w:r>
      <w:r w:rsidR="00CC5D76">
        <w:rPr>
          <w:rFonts w:eastAsia="Times New Roman"/>
        </w:rPr>
        <w:t>urrent supply shortages and disruptions continue to</w:t>
      </w:r>
      <w:r w:rsidR="00693D4A">
        <w:rPr>
          <w:rFonts w:eastAsia="Times New Roman"/>
        </w:rPr>
        <w:t xml:space="preserve"> challenge our healthcare </w:t>
      </w:r>
      <w:r w:rsidR="003849F5">
        <w:rPr>
          <w:rFonts w:eastAsia="Times New Roman"/>
        </w:rPr>
        <w:t>industry in profound ways</w:t>
      </w:r>
      <w:r w:rsidR="00693D4A">
        <w:rPr>
          <w:rFonts w:eastAsia="Times New Roman"/>
        </w:rPr>
        <w:t xml:space="preserve">. </w:t>
      </w:r>
      <w:r w:rsidR="00C03F0F">
        <w:rPr>
          <w:rFonts w:eastAsia="Times New Roman"/>
        </w:rPr>
        <w:t xml:space="preserve"> The stories and images from the frontlines</w:t>
      </w:r>
      <w:r w:rsidR="004B61EC">
        <w:rPr>
          <w:rFonts w:eastAsia="Times New Roman"/>
        </w:rPr>
        <w:t xml:space="preserve"> </w:t>
      </w:r>
      <w:r w:rsidR="003C3C80">
        <w:rPr>
          <w:rFonts w:eastAsia="Times New Roman"/>
        </w:rPr>
        <w:t>remind us of the heart</w:t>
      </w:r>
      <w:r w:rsidR="00A13979">
        <w:rPr>
          <w:rFonts w:eastAsia="Times New Roman"/>
        </w:rPr>
        <w:t>breaking loss AND breakthrough moments of inspiration.</w:t>
      </w:r>
      <w:r w:rsidR="00180184">
        <w:rPr>
          <w:rFonts w:eastAsia="Times New Roman"/>
        </w:rPr>
        <w:t xml:space="preserve">  </w:t>
      </w:r>
      <w:r w:rsidR="00125012">
        <w:rPr>
          <w:rFonts w:eastAsia="Times New Roman"/>
        </w:rPr>
        <w:t xml:space="preserve">  </w:t>
      </w:r>
    </w:p>
    <w:p w14:paraId="12F76BDE" w14:textId="2C0B5C58" w:rsidR="003849F5" w:rsidRPr="00FD4F48" w:rsidRDefault="003849F5" w:rsidP="00FD4F48">
      <w:pPr>
        <w:jc w:val="center"/>
        <w:rPr>
          <w:rFonts w:eastAsia="Times New Roman"/>
          <w:b/>
          <w:bCs/>
          <w:i/>
          <w:iCs/>
        </w:rPr>
      </w:pPr>
      <w:r w:rsidRPr="00FD4F48">
        <w:rPr>
          <w:rFonts w:eastAsia="Times New Roman"/>
          <w:b/>
          <w:bCs/>
          <w:i/>
          <w:iCs/>
        </w:rPr>
        <w:t xml:space="preserve">“Our healthcare supply chain provides the supplies, which supply the hands” </w:t>
      </w:r>
      <w:r w:rsidRPr="00FD4F48">
        <w:rPr>
          <w:rFonts w:eastAsia="Times New Roman"/>
          <w:b/>
          <w:bCs/>
          <w:i/>
          <w:iCs/>
          <w:sz w:val="18"/>
          <w:szCs w:val="18"/>
        </w:rPr>
        <w:t>(Vance Moore)</w:t>
      </w:r>
    </w:p>
    <w:p w14:paraId="4982649C" w14:textId="16532578" w:rsidR="00920308" w:rsidRDefault="00FD4F48" w:rsidP="00693D4A">
      <w:pPr>
        <w:rPr>
          <w:rFonts w:eastAsia="Times New Roman"/>
        </w:rPr>
      </w:pPr>
      <w:r>
        <w:rPr>
          <w:rFonts w:eastAsia="Times New Roman"/>
        </w:rPr>
        <w:t xml:space="preserve">The pressure has been </w:t>
      </w:r>
      <w:r w:rsidR="00DE2395">
        <w:rPr>
          <w:rFonts w:eastAsia="Times New Roman"/>
        </w:rPr>
        <w:t>relentless</w:t>
      </w:r>
      <w:r w:rsidR="00CC5D76">
        <w:rPr>
          <w:rFonts w:eastAsia="Times New Roman"/>
        </w:rPr>
        <w:t xml:space="preserve">. Supply chain and </w:t>
      </w:r>
      <w:r w:rsidR="00951496">
        <w:rPr>
          <w:rFonts w:eastAsia="Times New Roman"/>
        </w:rPr>
        <w:t xml:space="preserve">regulatory </w:t>
      </w:r>
      <w:r w:rsidR="00CC5D76">
        <w:rPr>
          <w:rFonts w:eastAsia="Times New Roman"/>
        </w:rPr>
        <w:t>leaders now</w:t>
      </w:r>
      <w:r w:rsidR="00920308">
        <w:rPr>
          <w:rFonts w:eastAsia="Times New Roman"/>
        </w:rPr>
        <w:t xml:space="preserve"> </w:t>
      </w:r>
      <w:r w:rsidR="00CC5D76">
        <w:rPr>
          <w:rFonts w:eastAsia="Times New Roman"/>
        </w:rPr>
        <w:t>engage in preparedness efforts to reimagine and build a more resilient healthcare supply chain</w:t>
      </w:r>
      <w:r w:rsidR="00727A9F">
        <w:rPr>
          <w:rFonts w:eastAsia="Times New Roman"/>
        </w:rPr>
        <w:t xml:space="preserve">.  </w:t>
      </w:r>
    </w:p>
    <w:p w14:paraId="422BF52C" w14:textId="301B93C2" w:rsidR="001F54D6" w:rsidRDefault="00951496" w:rsidP="00693D4A">
      <w:pPr>
        <w:rPr>
          <w:rFonts w:eastAsia="Times New Roman"/>
        </w:rPr>
      </w:pPr>
      <w:r>
        <w:rPr>
          <w:rFonts w:eastAsia="Times New Roman"/>
        </w:rPr>
        <w:t>Since the onset of the pandemic, o</w:t>
      </w:r>
      <w:r w:rsidR="006B705B">
        <w:rPr>
          <w:rFonts w:eastAsia="Times New Roman"/>
        </w:rPr>
        <w:t xml:space="preserve">ur dedicated professionals throughout the healthcare supply chain have been </w:t>
      </w:r>
      <w:r w:rsidR="00731FA2">
        <w:rPr>
          <w:rFonts w:eastAsia="Times New Roman"/>
        </w:rPr>
        <w:t xml:space="preserve">quietly saving lives, </w:t>
      </w:r>
      <w:r w:rsidR="00CF4673">
        <w:rPr>
          <w:rFonts w:eastAsia="Times New Roman"/>
        </w:rPr>
        <w:t>accelerating innovation</w:t>
      </w:r>
      <w:r w:rsidR="00731FA2">
        <w:rPr>
          <w:rFonts w:eastAsia="Times New Roman"/>
        </w:rPr>
        <w:t>, collaborating</w:t>
      </w:r>
      <w:r w:rsidR="00CF4673">
        <w:rPr>
          <w:rFonts w:eastAsia="Times New Roman"/>
        </w:rPr>
        <w:t xml:space="preserve"> </w:t>
      </w:r>
      <w:r w:rsidR="00727A9F">
        <w:rPr>
          <w:rFonts w:eastAsia="Times New Roman"/>
        </w:rPr>
        <w:t>with each other,</w:t>
      </w:r>
      <w:r w:rsidR="00F22FEF">
        <w:rPr>
          <w:rFonts w:eastAsia="Times New Roman"/>
        </w:rPr>
        <w:t xml:space="preserve"> and </w:t>
      </w:r>
      <w:r w:rsidR="00655A67">
        <w:rPr>
          <w:rFonts w:eastAsia="Times New Roman"/>
        </w:rPr>
        <w:t xml:space="preserve">giving </w:t>
      </w:r>
      <w:r w:rsidR="00727A9F">
        <w:rPr>
          <w:rFonts w:eastAsia="Times New Roman"/>
        </w:rPr>
        <w:t xml:space="preserve">every </w:t>
      </w:r>
      <w:r w:rsidR="00655A67">
        <w:rPr>
          <w:rFonts w:eastAsia="Times New Roman"/>
        </w:rPr>
        <w:t xml:space="preserve">waking hour to this cause </w:t>
      </w:r>
      <w:r w:rsidR="00EF6854">
        <w:rPr>
          <w:rFonts w:eastAsia="Times New Roman"/>
        </w:rPr>
        <w:t>for</w:t>
      </w:r>
      <w:r>
        <w:rPr>
          <w:rFonts w:eastAsia="Times New Roman"/>
        </w:rPr>
        <w:t xml:space="preserve"> over</w:t>
      </w:r>
      <w:r w:rsidR="00EF6854">
        <w:rPr>
          <w:rFonts w:eastAsia="Times New Roman"/>
        </w:rPr>
        <w:t xml:space="preserve"> </w:t>
      </w:r>
      <w:r>
        <w:rPr>
          <w:rFonts w:eastAsia="Times New Roman"/>
        </w:rPr>
        <w:t>4</w:t>
      </w:r>
      <w:r w:rsidR="00A160CF">
        <w:rPr>
          <w:rFonts w:eastAsia="Times New Roman"/>
        </w:rPr>
        <w:t xml:space="preserve"> years</w:t>
      </w:r>
      <w:r w:rsidR="00D407EC">
        <w:rPr>
          <w:rFonts w:eastAsia="Times New Roman"/>
        </w:rPr>
        <w:t xml:space="preserve">. </w:t>
      </w:r>
    </w:p>
    <w:p w14:paraId="6858FE73" w14:textId="4B2500F9" w:rsidR="00BF3B17" w:rsidRDefault="00630C90" w:rsidP="00693D4A">
      <w:pPr>
        <w:rPr>
          <w:rFonts w:eastAsia="Times New Roman"/>
        </w:rPr>
      </w:pPr>
      <w:r>
        <w:rPr>
          <w:rFonts w:eastAsia="Times New Roman"/>
        </w:rPr>
        <w:t>We have an understandable tendency to</w:t>
      </w:r>
      <w:r w:rsidR="00401346">
        <w:rPr>
          <w:rFonts w:eastAsia="Times New Roman"/>
        </w:rPr>
        <w:t xml:space="preserve"> defer r</w:t>
      </w:r>
      <w:r w:rsidR="00D949C8">
        <w:rPr>
          <w:rFonts w:eastAsia="Times New Roman"/>
        </w:rPr>
        <w:t>ecognition during time</w:t>
      </w:r>
      <w:r w:rsidR="00736122">
        <w:rPr>
          <w:rFonts w:eastAsia="Times New Roman"/>
        </w:rPr>
        <w:t>s</w:t>
      </w:r>
      <w:r w:rsidR="00D949C8">
        <w:rPr>
          <w:rFonts w:eastAsia="Times New Roman"/>
        </w:rPr>
        <w:t xml:space="preserve"> of struggle, especially when so many caregivers and patients are suffering so significantly on our front lines. </w:t>
      </w:r>
      <w:r w:rsidR="002F521B">
        <w:rPr>
          <w:rFonts w:eastAsia="Times New Roman"/>
        </w:rPr>
        <w:t xml:space="preserve"> </w:t>
      </w:r>
      <w:r w:rsidR="00401346">
        <w:rPr>
          <w:rFonts w:eastAsia="Times New Roman"/>
        </w:rPr>
        <w:t xml:space="preserve">However, recognition </w:t>
      </w:r>
      <w:r w:rsidR="00BF3B17">
        <w:rPr>
          <w:rFonts w:eastAsia="Times New Roman"/>
        </w:rPr>
        <w:t xml:space="preserve">itself </w:t>
      </w:r>
      <w:r w:rsidR="00401346">
        <w:rPr>
          <w:rFonts w:eastAsia="Times New Roman"/>
        </w:rPr>
        <w:t xml:space="preserve">is the fuel our supply chain needs at this critical time to continue </w:t>
      </w:r>
      <w:r w:rsidR="00312546">
        <w:rPr>
          <w:rFonts w:eastAsia="Times New Roman"/>
        </w:rPr>
        <w:t xml:space="preserve">to make these heroic efforts into the foreseeable future. </w:t>
      </w:r>
    </w:p>
    <w:p w14:paraId="60B7FA41" w14:textId="77777777" w:rsidR="00CF095C" w:rsidRDefault="00CF095C" w:rsidP="00C43F87">
      <w:pPr>
        <w:pStyle w:val="Heading1"/>
      </w:pPr>
    </w:p>
    <w:p w14:paraId="05CC3221" w14:textId="01A637D1" w:rsidR="00C43F87" w:rsidRPr="001F4EE3" w:rsidRDefault="00693D4A" w:rsidP="00C43F87">
      <w:pPr>
        <w:pStyle w:val="Heading1"/>
      </w:pPr>
      <w:r>
        <w:t>Purpose</w:t>
      </w:r>
    </w:p>
    <w:p w14:paraId="3FF77648" w14:textId="4F5A75CD" w:rsidR="00955FBA" w:rsidRPr="006F3915" w:rsidRDefault="009E72FA" w:rsidP="00955FBA">
      <w:pPr>
        <w:rPr>
          <w:rFonts w:eastAsia="Times New Roman"/>
        </w:rPr>
      </w:pPr>
      <w:r>
        <w:rPr>
          <w:rFonts w:eastAsia="Times New Roman"/>
        </w:rPr>
        <w:t xml:space="preserve">We intend to </w:t>
      </w:r>
      <w:r w:rsidR="00A160CF">
        <w:rPr>
          <w:rFonts w:eastAsia="Times New Roman"/>
        </w:rPr>
        <w:t>promote</w:t>
      </w:r>
      <w:r w:rsidR="00955FBA" w:rsidRPr="00955FBA">
        <w:rPr>
          <w:rFonts w:eastAsia="Times New Roman"/>
        </w:rPr>
        <w:t xml:space="preserve"> a culture of celebration across healthcare supply chain highlighting those heroes</w:t>
      </w:r>
      <w:r w:rsidR="00955FBA" w:rsidRPr="006F3915">
        <w:rPr>
          <w:rFonts w:eastAsia="Times New Roman"/>
        </w:rPr>
        <w:t xml:space="preserve"> in and out of healthcare that are driving change, having an impact, and advancing patient care. </w:t>
      </w:r>
    </w:p>
    <w:p w14:paraId="635D3B81" w14:textId="1F2FE1DD" w:rsidR="00271F1C" w:rsidRDefault="00A160CF" w:rsidP="00271F1C">
      <w:pPr>
        <w:rPr>
          <w:rFonts w:eastAsia="Times New Roman"/>
        </w:rPr>
      </w:pPr>
      <w:r>
        <w:rPr>
          <w:rFonts w:eastAsia="Times New Roman"/>
        </w:rPr>
        <w:t>While w</w:t>
      </w:r>
      <w:r w:rsidR="009E1064">
        <w:rPr>
          <w:rFonts w:eastAsia="Times New Roman"/>
        </w:rPr>
        <w:t xml:space="preserve">e initially </w:t>
      </w:r>
      <w:r w:rsidR="00271F1C">
        <w:rPr>
          <w:rFonts w:eastAsia="Times New Roman"/>
        </w:rPr>
        <w:t>recognize</w:t>
      </w:r>
      <w:r>
        <w:rPr>
          <w:rFonts w:eastAsia="Times New Roman"/>
        </w:rPr>
        <w:t>d</w:t>
      </w:r>
      <w:r w:rsidR="00271F1C">
        <w:rPr>
          <w:rFonts w:eastAsia="Times New Roman"/>
        </w:rPr>
        <w:t xml:space="preserve"> the extraordinary efforts of the many individuals </w:t>
      </w:r>
      <w:r w:rsidR="00EB585D">
        <w:rPr>
          <w:rFonts w:eastAsia="Times New Roman"/>
        </w:rPr>
        <w:t xml:space="preserve">or teams </w:t>
      </w:r>
      <w:r w:rsidR="00271F1C">
        <w:rPr>
          <w:rFonts w:eastAsia="Times New Roman"/>
        </w:rPr>
        <w:t xml:space="preserve">who have stabilized and improved our healthcare supply chain </w:t>
      </w:r>
      <w:r w:rsidR="00951496">
        <w:rPr>
          <w:rFonts w:eastAsia="Times New Roman"/>
        </w:rPr>
        <w:t>during t</w:t>
      </w:r>
      <w:r w:rsidR="00271F1C">
        <w:rPr>
          <w:rFonts w:eastAsia="Times New Roman"/>
        </w:rPr>
        <w:t>h</w:t>
      </w:r>
      <w:r w:rsidR="00951496">
        <w:rPr>
          <w:rFonts w:eastAsia="Times New Roman"/>
        </w:rPr>
        <w:t>e</w:t>
      </w:r>
      <w:r w:rsidR="00271F1C">
        <w:rPr>
          <w:rFonts w:eastAsia="Times New Roman"/>
        </w:rPr>
        <w:t xml:space="preserve"> </w:t>
      </w:r>
      <w:r>
        <w:rPr>
          <w:rFonts w:eastAsia="Times New Roman"/>
        </w:rPr>
        <w:t xml:space="preserve">pandemic, we know that the challenges remain </w:t>
      </w:r>
      <w:r w:rsidR="006F3915">
        <w:rPr>
          <w:rFonts w:eastAsia="Times New Roman"/>
        </w:rPr>
        <w:t>and, in some cases,</w:t>
      </w:r>
      <w:r>
        <w:rPr>
          <w:rFonts w:eastAsia="Times New Roman"/>
        </w:rPr>
        <w:t xml:space="preserve"> have expanded </w:t>
      </w:r>
      <w:r w:rsidR="00951496">
        <w:rPr>
          <w:rFonts w:eastAsia="Times New Roman"/>
        </w:rPr>
        <w:t>to encompass a global perspective</w:t>
      </w:r>
      <w:r w:rsidR="004372A0">
        <w:rPr>
          <w:rFonts w:eastAsia="Times New Roman"/>
        </w:rPr>
        <w:t xml:space="preserve">.  </w:t>
      </w:r>
      <w:r w:rsidR="00347B33">
        <w:rPr>
          <w:rFonts w:eastAsia="Times New Roman"/>
        </w:rPr>
        <w:t xml:space="preserve"> We</w:t>
      </w:r>
      <w:r>
        <w:rPr>
          <w:rFonts w:eastAsia="Times New Roman"/>
        </w:rPr>
        <w:t xml:space="preserve"> look to recognize the ongoing efforts and </w:t>
      </w:r>
      <w:r w:rsidR="00347B33">
        <w:rPr>
          <w:rFonts w:eastAsia="Times New Roman"/>
        </w:rPr>
        <w:t xml:space="preserve">coordination of </w:t>
      </w:r>
      <w:r>
        <w:rPr>
          <w:rFonts w:eastAsia="Times New Roman"/>
        </w:rPr>
        <w:t xml:space="preserve">supply chain professionals to ensure </w:t>
      </w:r>
      <w:r w:rsidR="00347B33">
        <w:rPr>
          <w:rFonts w:eastAsia="Times New Roman"/>
        </w:rPr>
        <w:t xml:space="preserve">quality </w:t>
      </w:r>
      <w:r>
        <w:rPr>
          <w:rFonts w:eastAsia="Times New Roman"/>
        </w:rPr>
        <w:t xml:space="preserve">medical supplies are </w:t>
      </w:r>
      <w:r w:rsidR="00347B33">
        <w:rPr>
          <w:rFonts w:eastAsia="Times New Roman"/>
        </w:rPr>
        <w:t>available for use by their clinical partners and the patients they serve.</w:t>
      </w:r>
    </w:p>
    <w:p w14:paraId="3748B041" w14:textId="77777777" w:rsidR="009C7A90" w:rsidRDefault="009C7A90" w:rsidP="00A872EA">
      <w:pPr>
        <w:pStyle w:val="Heading1"/>
      </w:pPr>
    </w:p>
    <w:p w14:paraId="39A2D078" w14:textId="3DB72D11" w:rsidR="00A872EA" w:rsidRDefault="00A872EA" w:rsidP="00A872EA">
      <w:pPr>
        <w:pStyle w:val="Heading1"/>
      </w:pPr>
      <w:r>
        <w:t>Approach</w:t>
      </w:r>
    </w:p>
    <w:p w14:paraId="2351FCF8" w14:textId="1A8406F9" w:rsidR="00C82D85" w:rsidRDefault="00347B33" w:rsidP="00955FBA">
      <w:pPr>
        <w:rPr>
          <w:rFonts w:eastAsia="Times New Roman"/>
        </w:rPr>
      </w:pPr>
      <w:r>
        <w:rPr>
          <w:rFonts w:eastAsia="Times New Roman"/>
        </w:rPr>
        <w:t>T</w:t>
      </w:r>
      <w:r w:rsidRPr="00955FBA">
        <w:rPr>
          <w:rFonts w:eastAsia="Times New Roman"/>
        </w:rPr>
        <w:t>he Federation of American Hospitals</w:t>
      </w:r>
      <w:r>
        <w:rPr>
          <w:rFonts w:eastAsia="Times New Roman"/>
        </w:rPr>
        <w:t xml:space="preserve"> initiated t</w:t>
      </w:r>
      <w:r w:rsidR="00955FBA" w:rsidRPr="00955FBA">
        <w:rPr>
          <w:rFonts w:eastAsia="Times New Roman"/>
        </w:rPr>
        <w:t xml:space="preserve">his </w:t>
      </w:r>
      <w:r w:rsidR="00FC3EEB">
        <w:rPr>
          <w:rFonts w:eastAsia="Times New Roman"/>
        </w:rPr>
        <w:t>recognition program</w:t>
      </w:r>
      <w:r w:rsidR="008F45B2">
        <w:rPr>
          <w:rFonts w:eastAsia="Times New Roman"/>
        </w:rPr>
        <w:t xml:space="preserve">.  </w:t>
      </w:r>
      <w:r w:rsidR="0097268B">
        <w:rPr>
          <w:rFonts w:eastAsia="Times New Roman"/>
        </w:rPr>
        <w:t xml:space="preserve">Other professional associations, solution providers and providers are part of the initial membership so the program can extend to </w:t>
      </w:r>
      <w:r w:rsidR="008D644A">
        <w:rPr>
          <w:rFonts w:eastAsia="Times New Roman"/>
        </w:rPr>
        <w:t xml:space="preserve">our industry’s many conferences and associations.  This program is intended to be </w:t>
      </w:r>
      <w:r w:rsidR="002006F0">
        <w:rPr>
          <w:rFonts w:eastAsia="Times New Roman"/>
        </w:rPr>
        <w:t xml:space="preserve">shared by the industry, facilitated by the industry, and </w:t>
      </w:r>
      <w:r w:rsidR="00A809C5">
        <w:rPr>
          <w:rFonts w:eastAsia="Times New Roman"/>
        </w:rPr>
        <w:t xml:space="preserve">extended throughout the industry.  </w:t>
      </w:r>
    </w:p>
    <w:p w14:paraId="660F97E8" w14:textId="30B36BD7" w:rsidR="003A6AB1" w:rsidRPr="00C575A5" w:rsidRDefault="00B349C7" w:rsidP="00955FBA">
      <w:pPr>
        <w:rPr>
          <w:rFonts w:eastAsia="Times New Roman"/>
          <w:i/>
          <w:iCs/>
        </w:rPr>
      </w:pPr>
      <w:r w:rsidRPr="00C575A5">
        <w:rPr>
          <w:rFonts w:eastAsia="Times New Roman"/>
          <w:i/>
          <w:iCs/>
        </w:rPr>
        <w:t xml:space="preserve">We will </w:t>
      </w:r>
      <w:r w:rsidR="00347B33" w:rsidRPr="00C575A5">
        <w:rPr>
          <w:rFonts w:eastAsia="Times New Roman"/>
          <w:i/>
          <w:iCs/>
        </w:rPr>
        <w:t xml:space="preserve">announce </w:t>
      </w:r>
      <w:r w:rsidR="00C257B8" w:rsidRPr="00C575A5">
        <w:rPr>
          <w:rFonts w:eastAsia="Times New Roman"/>
          <w:i/>
          <w:iCs/>
        </w:rPr>
        <w:t xml:space="preserve">the </w:t>
      </w:r>
      <w:r w:rsidR="00347B33" w:rsidRPr="00C575A5">
        <w:rPr>
          <w:rFonts w:eastAsia="Times New Roman"/>
          <w:i/>
          <w:iCs/>
        </w:rPr>
        <w:t>202</w:t>
      </w:r>
      <w:r w:rsidR="004372A0" w:rsidRPr="00C575A5">
        <w:rPr>
          <w:rFonts w:eastAsia="Times New Roman"/>
          <w:i/>
          <w:iCs/>
        </w:rPr>
        <w:t>4</w:t>
      </w:r>
      <w:r w:rsidR="00FC32A1" w:rsidRPr="00C575A5">
        <w:rPr>
          <w:rFonts w:eastAsia="Times New Roman"/>
          <w:i/>
          <w:iCs/>
        </w:rPr>
        <w:t xml:space="preserve"> Supplier</w:t>
      </w:r>
      <w:r w:rsidR="004372A0" w:rsidRPr="00C575A5">
        <w:rPr>
          <w:rFonts w:eastAsia="Times New Roman"/>
          <w:i/>
          <w:iCs/>
        </w:rPr>
        <w:t xml:space="preserve"> </w:t>
      </w:r>
      <w:r w:rsidR="00EF6F26" w:rsidRPr="00C575A5">
        <w:rPr>
          <w:rFonts w:eastAsia="Times New Roman"/>
          <w:i/>
          <w:iCs/>
        </w:rPr>
        <w:t>award recipient</w:t>
      </w:r>
      <w:r w:rsidRPr="00C575A5">
        <w:rPr>
          <w:rFonts w:eastAsia="Times New Roman"/>
          <w:i/>
          <w:iCs/>
        </w:rPr>
        <w:t>s</w:t>
      </w:r>
      <w:r w:rsidR="00EF6F26" w:rsidRPr="00C575A5">
        <w:rPr>
          <w:rFonts w:eastAsia="Times New Roman"/>
          <w:i/>
          <w:iCs/>
        </w:rPr>
        <w:t xml:space="preserve"> </w:t>
      </w:r>
      <w:r w:rsidR="004408F2" w:rsidRPr="00C575A5">
        <w:rPr>
          <w:rFonts w:eastAsia="Times New Roman"/>
          <w:i/>
          <w:iCs/>
        </w:rPr>
        <w:t xml:space="preserve">on </w:t>
      </w:r>
      <w:r w:rsidR="00347B33" w:rsidRPr="00C575A5">
        <w:rPr>
          <w:rFonts w:eastAsia="Times New Roman"/>
          <w:i/>
          <w:iCs/>
        </w:rPr>
        <w:t>March</w:t>
      </w:r>
      <w:r w:rsidR="00F53737" w:rsidRPr="00C575A5">
        <w:rPr>
          <w:rFonts w:eastAsia="Times New Roman"/>
          <w:i/>
          <w:iCs/>
        </w:rPr>
        <w:t xml:space="preserve"> 202</w:t>
      </w:r>
      <w:r w:rsidR="004372A0" w:rsidRPr="00C575A5">
        <w:rPr>
          <w:rFonts w:eastAsia="Times New Roman"/>
          <w:i/>
          <w:iCs/>
        </w:rPr>
        <w:t xml:space="preserve">4 </w:t>
      </w:r>
      <w:r w:rsidR="004408F2" w:rsidRPr="00C575A5">
        <w:rPr>
          <w:rFonts w:eastAsia="Times New Roman"/>
          <w:i/>
          <w:iCs/>
        </w:rPr>
        <w:t xml:space="preserve">at the </w:t>
      </w:r>
      <w:r w:rsidR="00347B33" w:rsidRPr="00C575A5">
        <w:rPr>
          <w:rFonts w:eastAsia="Times New Roman"/>
          <w:i/>
          <w:iCs/>
        </w:rPr>
        <w:t>Federation conference</w:t>
      </w:r>
      <w:r w:rsidR="004372A0" w:rsidRPr="00C575A5">
        <w:rPr>
          <w:rFonts w:eastAsia="Times New Roman"/>
          <w:i/>
          <w:iCs/>
        </w:rPr>
        <w:t xml:space="preserve">, and </w:t>
      </w:r>
      <w:r w:rsidR="00FC32A1" w:rsidRPr="00C575A5">
        <w:rPr>
          <w:rFonts w:eastAsia="Times New Roman"/>
          <w:i/>
          <w:iCs/>
        </w:rPr>
        <w:t>the 2024 Provider award recipients at the September</w:t>
      </w:r>
      <w:r w:rsidR="004372A0" w:rsidRPr="00C575A5">
        <w:rPr>
          <w:rFonts w:eastAsia="Times New Roman"/>
          <w:i/>
          <w:iCs/>
        </w:rPr>
        <w:t xml:space="preserve"> 2024 ARHMM conference. </w:t>
      </w:r>
      <w:r w:rsidR="00955FBA" w:rsidRPr="00C575A5">
        <w:rPr>
          <w:rFonts w:eastAsia="Times New Roman"/>
          <w:i/>
          <w:iCs/>
        </w:rPr>
        <w:t xml:space="preserve"> We will partner with </w:t>
      </w:r>
      <w:r w:rsidR="00F91870" w:rsidRPr="00C575A5">
        <w:rPr>
          <w:rFonts w:eastAsia="Times New Roman"/>
          <w:i/>
          <w:iCs/>
        </w:rPr>
        <w:t>various</w:t>
      </w:r>
      <w:r w:rsidR="00955FBA" w:rsidRPr="00C575A5">
        <w:rPr>
          <w:rFonts w:eastAsia="Times New Roman"/>
          <w:i/>
          <w:iCs/>
        </w:rPr>
        <w:t xml:space="preserve"> conferences and associations to have these awards presented live whenever possible.  </w:t>
      </w:r>
      <w:r w:rsidR="006C293B" w:rsidRPr="00C575A5">
        <w:rPr>
          <w:rFonts w:eastAsia="Times New Roman"/>
          <w:i/>
          <w:iCs/>
        </w:rPr>
        <w:t>A</w:t>
      </w:r>
      <w:r w:rsidR="00955FBA" w:rsidRPr="00C575A5">
        <w:rPr>
          <w:rFonts w:eastAsia="Times New Roman"/>
          <w:i/>
          <w:iCs/>
        </w:rPr>
        <w:t xml:space="preserve">s an example, we hope to acknowledge dedicated professionals </w:t>
      </w:r>
      <w:r w:rsidR="006C293B" w:rsidRPr="00C575A5">
        <w:rPr>
          <w:rFonts w:eastAsia="Times New Roman"/>
          <w:i/>
          <w:iCs/>
        </w:rPr>
        <w:t>during events such as A</w:t>
      </w:r>
      <w:r w:rsidR="00955FBA" w:rsidRPr="00C575A5">
        <w:rPr>
          <w:rFonts w:eastAsia="Times New Roman"/>
          <w:i/>
          <w:iCs/>
        </w:rPr>
        <w:t xml:space="preserve">ORN, AHRMM, </w:t>
      </w:r>
      <w:r w:rsidR="004372A0" w:rsidRPr="00C575A5">
        <w:rPr>
          <w:rFonts w:eastAsia="Times New Roman"/>
          <w:i/>
          <w:iCs/>
        </w:rPr>
        <w:t>SMI</w:t>
      </w:r>
      <w:r w:rsidR="00955FBA" w:rsidRPr="00C575A5">
        <w:rPr>
          <w:rFonts w:eastAsia="Times New Roman"/>
          <w:i/>
          <w:iCs/>
        </w:rPr>
        <w:t xml:space="preserve"> the IDN Summit, and other national platforms.  </w:t>
      </w:r>
    </w:p>
    <w:p w14:paraId="7A9E8799" w14:textId="7F3070F4" w:rsidR="009C7A90" w:rsidRDefault="009C7A90" w:rsidP="009C7A90">
      <w:pPr>
        <w:rPr>
          <w:rFonts w:eastAsia="Times New Roman"/>
        </w:rPr>
      </w:pPr>
      <w:r w:rsidRPr="00A24B94">
        <w:rPr>
          <w:rFonts w:eastAsia="Times New Roman"/>
        </w:rPr>
        <w:t xml:space="preserve">The goal is to discover the </w:t>
      </w:r>
      <w:r>
        <w:rPr>
          <w:rFonts w:eastAsia="Times New Roman"/>
        </w:rPr>
        <w:t>many untold</w:t>
      </w:r>
      <w:r w:rsidRPr="00A24B94">
        <w:rPr>
          <w:rFonts w:eastAsia="Times New Roman"/>
        </w:rPr>
        <w:t xml:space="preserve"> stories of courage and breakthrough, of individuals, teams or organizations who </w:t>
      </w:r>
      <w:r>
        <w:rPr>
          <w:rFonts w:eastAsia="Times New Roman"/>
        </w:rPr>
        <w:t xml:space="preserve">are often underrepresented in our national supply chain forums.  </w:t>
      </w:r>
      <w:r w:rsidRPr="00A24B94">
        <w:rPr>
          <w:rFonts w:eastAsia="Times New Roman"/>
        </w:rPr>
        <w:t xml:space="preserve">Therefore, we will each need to get creative in our outreach efforts to expand and deepen our collective reach.  </w:t>
      </w:r>
    </w:p>
    <w:p w14:paraId="5DCC066D" w14:textId="77777777" w:rsidR="003A6AB1" w:rsidRDefault="003A6AB1" w:rsidP="00955FBA">
      <w:pPr>
        <w:rPr>
          <w:rFonts w:eastAsia="Times New Roman"/>
        </w:rPr>
      </w:pPr>
    </w:p>
    <w:p w14:paraId="48C666DC" w14:textId="39171292" w:rsidR="00C43F87" w:rsidRPr="00A526C2" w:rsidRDefault="008C4CB9" w:rsidP="00C43F87">
      <w:pPr>
        <w:pStyle w:val="Heading1"/>
      </w:pPr>
      <w:r>
        <w:t>Award Focus &amp;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780"/>
        <w:gridCol w:w="3865"/>
      </w:tblGrid>
      <w:tr w:rsidR="005519E9" w14:paraId="14E56016" w14:textId="77777777" w:rsidTr="00C575A5">
        <w:tc>
          <w:tcPr>
            <w:tcW w:w="2335" w:type="dxa"/>
          </w:tcPr>
          <w:p w14:paraId="703BFD67" w14:textId="77777777" w:rsidR="005519E9" w:rsidRDefault="005519E9" w:rsidP="00C43F87">
            <w:pPr>
              <w:ind w:right="-180"/>
              <w:rPr>
                <w:rFonts w:cs="Arial"/>
                <w:b/>
              </w:rPr>
            </w:pPr>
          </w:p>
        </w:tc>
        <w:tc>
          <w:tcPr>
            <w:tcW w:w="3780" w:type="dxa"/>
            <w:shd w:val="clear" w:color="auto" w:fill="E2EFD9" w:themeFill="accent6" w:themeFillTint="33"/>
          </w:tcPr>
          <w:p w14:paraId="256D3978" w14:textId="1DB6287D" w:rsidR="005519E9" w:rsidRDefault="005519E9" w:rsidP="00AB4F78">
            <w:pPr>
              <w:ind w:right="-1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Provider Recognition</w:t>
            </w:r>
          </w:p>
        </w:tc>
        <w:tc>
          <w:tcPr>
            <w:tcW w:w="3865" w:type="dxa"/>
          </w:tcPr>
          <w:p w14:paraId="6A428496" w14:textId="2C3F61DB" w:rsidR="005519E9" w:rsidRDefault="005519E9" w:rsidP="00AB4F78">
            <w:pPr>
              <w:ind w:right="-18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Supplier Recognition</w:t>
            </w:r>
          </w:p>
        </w:tc>
      </w:tr>
      <w:tr w:rsidR="00477E13" w14:paraId="538E2E56" w14:textId="77777777" w:rsidTr="00C575A5">
        <w:tc>
          <w:tcPr>
            <w:tcW w:w="2335" w:type="dxa"/>
          </w:tcPr>
          <w:p w14:paraId="364A00A6" w14:textId="516889D3" w:rsidR="00477E13" w:rsidRDefault="00477E13" w:rsidP="00477E13">
            <w:pPr>
              <w:ind w:right="-1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Eligibility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327C4BBB" w14:textId="32CC1A68" w:rsidR="00477E13" w:rsidRPr="00346A9F" w:rsidRDefault="00477E13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 w:rsidRPr="00346A9F">
              <w:rPr>
                <w:rFonts w:cs="Arial"/>
                <w:bCs/>
                <w:sz w:val="20"/>
                <w:szCs w:val="20"/>
              </w:rPr>
              <w:t xml:space="preserve">Individuals </w:t>
            </w:r>
            <w:r w:rsidR="00450C76">
              <w:rPr>
                <w:rFonts w:cs="Arial"/>
                <w:bCs/>
                <w:sz w:val="20"/>
                <w:szCs w:val="20"/>
              </w:rPr>
              <w:t>and</w:t>
            </w:r>
            <w:r w:rsidR="00943CB6">
              <w:rPr>
                <w:rFonts w:cs="Arial"/>
                <w:bCs/>
                <w:sz w:val="20"/>
                <w:szCs w:val="20"/>
              </w:rPr>
              <w:t>/or</w:t>
            </w:r>
            <w:r w:rsidRPr="00346A9F">
              <w:rPr>
                <w:rFonts w:cs="Arial"/>
                <w:bCs/>
                <w:sz w:val="20"/>
                <w:szCs w:val="20"/>
              </w:rPr>
              <w:t xml:space="preserve"> teams in the supply chain function, or directly contributing to supply chain </w:t>
            </w:r>
            <w:r w:rsidR="00F70BBF" w:rsidRPr="00346A9F">
              <w:rPr>
                <w:rFonts w:cs="Arial"/>
                <w:bCs/>
                <w:sz w:val="20"/>
                <w:szCs w:val="20"/>
              </w:rPr>
              <w:t>activities</w:t>
            </w:r>
            <w:r w:rsidR="00713026">
              <w:rPr>
                <w:rFonts w:cs="Arial"/>
                <w:bCs/>
                <w:sz w:val="20"/>
                <w:szCs w:val="20"/>
              </w:rPr>
              <w:t>.</w:t>
            </w:r>
          </w:p>
          <w:p w14:paraId="657203DF" w14:textId="77777777" w:rsidR="00477E13" w:rsidRPr="00346A9F" w:rsidRDefault="00477E13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</w:p>
          <w:p w14:paraId="0EE1EAFC" w14:textId="56740842" w:rsidR="00477E13" w:rsidRPr="00D611BE" w:rsidRDefault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 w:rsidRPr="00346A9F">
              <w:rPr>
                <w:rFonts w:cs="Arial"/>
                <w:bCs/>
                <w:sz w:val="20"/>
                <w:szCs w:val="20"/>
              </w:rPr>
              <w:t>May include clinicians, operat</w:t>
            </w:r>
            <w:r w:rsidR="00713026">
              <w:rPr>
                <w:rFonts w:cs="Arial"/>
                <w:bCs/>
                <w:sz w:val="20"/>
                <w:szCs w:val="20"/>
              </w:rPr>
              <w:t>ions</w:t>
            </w:r>
            <w:r w:rsidRPr="00346A9F">
              <w:rPr>
                <w:rFonts w:cs="Arial"/>
                <w:bCs/>
                <w:sz w:val="20"/>
                <w:szCs w:val="20"/>
              </w:rPr>
              <w:t>, analysts, and many other job functions, if the person/team is recognized for their supply chain contributions</w:t>
            </w:r>
            <w:r w:rsidR="00713026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3865" w:type="dxa"/>
          </w:tcPr>
          <w:p w14:paraId="5007BA98" w14:textId="0C4780D5" w:rsidR="00477E13" w:rsidRPr="00D611BE" w:rsidRDefault="00477E13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 w:rsidRPr="00346A9F">
              <w:rPr>
                <w:rFonts w:cs="Arial"/>
                <w:bCs/>
                <w:sz w:val="20"/>
                <w:szCs w:val="20"/>
              </w:rPr>
              <w:t xml:space="preserve">Individuals </w:t>
            </w:r>
            <w:r w:rsidR="00450C76">
              <w:rPr>
                <w:rFonts w:cs="Arial"/>
                <w:bCs/>
                <w:sz w:val="20"/>
                <w:szCs w:val="20"/>
              </w:rPr>
              <w:t>an</w:t>
            </w:r>
            <w:r w:rsidR="00943CB6">
              <w:rPr>
                <w:rFonts w:cs="Arial"/>
                <w:bCs/>
                <w:sz w:val="20"/>
                <w:szCs w:val="20"/>
              </w:rPr>
              <w:t>d/or</w:t>
            </w:r>
            <w:r w:rsidRPr="00346A9F">
              <w:rPr>
                <w:rFonts w:cs="Arial"/>
                <w:bCs/>
                <w:sz w:val="20"/>
                <w:szCs w:val="20"/>
              </w:rPr>
              <w:t xml:space="preserve"> teams contributing to the success of the healthcare supply chain</w:t>
            </w:r>
          </w:p>
        </w:tc>
      </w:tr>
      <w:tr w:rsidR="00477E13" w14:paraId="2AFCAD16" w14:textId="77777777" w:rsidTr="00C575A5">
        <w:tc>
          <w:tcPr>
            <w:tcW w:w="2335" w:type="dxa"/>
          </w:tcPr>
          <w:p w14:paraId="3CDCEC33" w14:textId="7CDDBF5B" w:rsidR="00477E13" w:rsidRDefault="00477E13" w:rsidP="00477E13">
            <w:pPr>
              <w:ind w:right="-1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Eligible Organizations</w:t>
            </w:r>
          </w:p>
        </w:tc>
        <w:tc>
          <w:tcPr>
            <w:tcW w:w="3780" w:type="dxa"/>
            <w:shd w:val="clear" w:color="auto" w:fill="E2EFD9" w:themeFill="accent6" w:themeFillTint="33"/>
          </w:tcPr>
          <w:p w14:paraId="6203085B" w14:textId="77777777" w:rsidR="00477E13" w:rsidRPr="00D611BE" w:rsidRDefault="00477E13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Healthcare providers</w:t>
            </w:r>
          </w:p>
          <w:p w14:paraId="0FE7F4EF" w14:textId="77777777" w:rsidR="00477E13" w:rsidRDefault="00477E1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Acute</w:t>
            </w:r>
          </w:p>
          <w:p w14:paraId="78751BD5" w14:textId="0D032EB6" w:rsidR="00477E13" w:rsidRDefault="00477E1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Non-acute</w:t>
            </w:r>
          </w:p>
          <w:p w14:paraId="4E23BC08" w14:textId="3D76EB83" w:rsidR="00713026" w:rsidRDefault="00713026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ASC</w:t>
            </w:r>
          </w:p>
          <w:p w14:paraId="4489FA5C" w14:textId="77777777" w:rsidR="003C3EC2" w:rsidRDefault="003C3EC2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0268B1">
              <w:rPr>
                <w:rFonts w:cs="Arial"/>
                <w:bCs/>
                <w:sz w:val="20"/>
                <w:szCs w:val="20"/>
              </w:rPr>
              <w:t>LTC</w:t>
            </w:r>
          </w:p>
          <w:p w14:paraId="025E38B9" w14:textId="6E830179" w:rsidR="00713026" w:rsidRPr="00346A9F" w:rsidRDefault="00713026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Home Health</w:t>
            </w:r>
          </w:p>
        </w:tc>
        <w:tc>
          <w:tcPr>
            <w:tcW w:w="3865" w:type="dxa"/>
          </w:tcPr>
          <w:p w14:paraId="34F8E27A" w14:textId="77777777" w:rsidR="00477E13" w:rsidRPr="00D611BE" w:rsidRDefault="00477E1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Healthcare manufacturers</w:t>
            </w:r>
          </w:p>
          <w:p w14:paraId="4B153EEE" w14:textId="77777777" w:rsidR="00477E13" w:rsidRPr="00D611BE" w:rsidRDefault="00477E1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Non-healthcare manufacturers contributing to healthcare (think Ford)</w:t>
            </w:r>
          </w:p>
          <w:p w14:paraId="091C1DC9" w14:textId="0A9F0B1B" w:rsidR="00477E13" w:rsidRPr="00D611BE" w:rsidRDefault="00EE766B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Tech &amp; </w:t>
            </w:r>
            <w:r w:rsidR="00477E13" w:rsidRPr="00D611BE">
              <w:rPr>
                <w:rFonts w:cs="Arial"/>
                <w:bCs/>
                <w:sz w:val="20"/>
                <w:szCs w:val="20"/>
              </w:rPr>
              <w:t>Solution Providers</w:t>
            </w:r>
          </w:p>
          <w:p w14:paraId="5E5B1489" w14:textId="13EBBFA3" w:rsidR="00956FA3" w:rsidRDefault="00956FA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Professional Services Companies</w:t>
            </w:r>
          </w:p>
          <w:p w14:paraId="16AF5C06" w14:textId="0BD0A51E" w:rsidR="00477E13" w:rsidRDefault="00477E13" w:rsidP="00477E13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 w:rsidRPr="00D611BE">
              <w:rPr>
                <w:rFonts w:cs="Arial"/>
                <w:bCs/>
                <w:sz w:val="20"/>
                <w:szCs w:val="20"/>
              </w:rPr>
              <w:t>Distributors</w:t>
            </w:r>
          </w:p>
          <w:p w14:paraId="7DF82382" w14:textId="3C6DBEC4" w:rsidR="00713026" w:rsidRDefault="005F7584">
            <w:pPr>
              <w:pStyle w:val="ListParagraph"/>
              <w:numPr>
                <w:ilvl w:val="0"/>
                <w:numId w:val="8"/>
              </w:num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GPOs</w:t>
            </w:r>
          </w:p>
          <w:p w14:paraId="73B2BCAA" w14:textId="593C4988" w:rsidR="00821FAE" w:rsidRPr="00956FA3" w:rsidRDefault="00821FAE" w:rsidP="00450C76">
            <w:pPr>
              <w:pStyle w:val="ListParagraph"/>
              <w:ind w:right="-18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77E13" w14:paraId="0EB85D8A" w14:textId="77777777" w:rsidTr="009C7A90">
        <w:tc>
          <w:tcPr>
            <w:tcW w:w="2335" w:type="dxa"/>
          </w:tcPr>
          <w:p w14:paraId="266DCE04" w14:textId="5AC62FF8" w:rsidR="00477E13" w:rsidRDefault="00477E13" w:rsidP="00477E13">
            <w:pPr>
              <w:ind w:right="-1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Recognition Frequency</w:t>
            </w:r>
          </w:p>
        </w:tc>
        <w:tc>
          <w:tcPr>
            <w:tcW w:w="7645" w:type="dxa"/>
            <w:gridSpan w:val="2"/>
          </w:tcPr>
          <w:p w14:paraId="580C5073" w14:textId="1DAA6A62" w:rsidR="00D32EAC" w:rsidRDefault="00943CB6" w:rsidP="00D32EAC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Annual Award with “honora</w:t>
            </w:r>
            <w:r w:rsidR="00F53737">
              <w:rPr>
                <w:rFonts w:cs="Arial"/>
                <w:bCs/>
                <w:sz w:val="20"/>
                <w:szCs w:val="20"/>
              </w:rPr>
              <w:t>ble</w:t>
            </w:r>
            <w:r>
              <w:rPr>
                <w:rFonts w:cs="Arial"/>
                <w:bCs/>
                <w:sz w:val="20"/>
                <w:szCs w:val="20"/>
              </w:rPr>
              <w:t xml:space="preserve"> mentions” during National Supply Chain week and other opportunities throughout the year.</w:t>
            </w:r>
          </w:p>
          <w:p w14:paraId="5643E08D" w14:textId="77777777" w:rsidR="007B406C" w:rsidRDefault="007B406C" w:rsidP="00D32EAC">
            <w:pPr>
              <w:ind w:right="-180"/>
              <w:rPr>
                <w:rFonts w:cs="Arial"/>
                <w:bCs/>
                <w:sz w:val="20"/>
                <w:szCs w:val="20"/>
              </w:rPr>
            </w:pPr>
          </w:p>
          <w:p w14:paraId="512C13E2" w14:textId="606648C3" w:rsidR="002C5F99" w:rsidRDefault="007B406C" w:rsidP="00D32EAC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This committee may choose to change frequency based on </w:t>
            </w:r>
            <w:r w:rsidR="002C5F99">
              <w:rPr>
                <w:rFonts w:cs="Arial"/>
                <w:bCs/>
                <w:sz w:val="20"/>
                <w:szCs w:val="20"/>
              </w:rPr>
              <w:t>volume of nominations</w:t>
            </w:r>
            <w:r w:rsidR="00943CB6">
              <w:rPr>
                <w:rFonts w:cs="Arial"/>
                <w:bCs/>
                <w:sz w:val="20"/>
                <w:szCs w:val="20"/>
              </w:rPr>
              <w:t>.</w:t>
            </w:r>
          </w:p>
          <w:p w14:paraId="31DD37F4" w14:textId="6EF892FE" w:rsidR="002C5F99" w:rsidRPr="00D32EAC" w:rsidRDefault="002C5F99" w:rsidP="00D32EAC">
            <w:pPr>
              <w:ind w:right="-18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77E13" w14:paraId="31EC54B1" w14:textId="77777777" w:rsidTr="009C7A90">
        <w:tc>
          <w:tcPr>
            <w:tcW w:w="2335" w:type="dxa"/>
          </w:tcPr>
          <w:p w14:paraId="5C098188" w14:textId="14CFCD34" w:rsidR="00477E13" w:rsidRDefault="00477E13" w:rsidP="00477E13">
            <w:pPr>
              <w:ind w:right="-18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Recognition Format</w:t>
            </w:r>
          </w:p>
        </w:tc>
        <w:tc>
          <w:tcPr>
            <w:tcW w:w="7645" w:type="dxa"/>
            <w:gridSpan w:val="2"/>
          </w:tcPr>
          <w:p w14:paraId="18ED64A9" w14:textId="090FD700" w:rsidR="00477E13" w:rsidRDefault="00477E13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Recognize the recipients on stage at major industry conference AND extend recognition through </w:t>
            </w:r>
            <w:r w:rsidR="00176F12">
              <w:rPr>
                <w:rFonts w:cs="Arial"/>
                <w:bCs/>
                <w:sz w:val="20"/>
                <w:szCs w:val="20"/>
              </w:rPr>
              <w:t xml:space="preserve">our various </w:t>
            </w:r>
            <w:r>
              <w:rPr>
                <w:rFonts w:cs="Arial"/>
                <w:bCs/>
                <w:sz w:val="20"/>
                <w:szCs w:val="20"/>
              </w:rPr>
              <w:t xml:space="preserve">media </w:t>
            </w:r>
            <w:r w:rsidR="00943CB6">
              <w:rPr>
                <w:rFonts w:cs="Arial"/>
                <w:bCs/>
                <w:sz w:val="20"/>
                <w:szCs w:val="20"/>
              </w:rPr>
              <w:t xml:space="preserve">and social media </w:t>
            </w:r>
            <w:r>
              <w:rPr>
                <w:rFonts w:cs="Arial"/>
                <w:bCs/>
                <w:sz w:val="20"/>
                <w:szCs w:val="20"/>
              </w:rPr>
              <w:t>outlets</w:t>
            </w:r>
            <w:r w:rsidR="00943CB6">
              <w:rPr>
                <w:rFonts w:cs="Arial"/>
                <w:bCs/>
                <w:sz w:val="20"/>
                <w:szCs w:val="20"/>
              </w:rPr>
              <w:t>.</w:t>
            </w:r>
          </w:p>
          <w:p w14:paraId="1B543B86" w14:textId="65D676BF" w:rsidR="00943CB6" w:rsidRDefault="00943CB6" w:rsidP="00477E13">
            <w:pPr>
              <w:ind w:right="-180"/>
              <w:rPr>
                <w:rFonts w:cs="Arial"/>
                <w:bCs/>
                <w:sz w:val="20"/>
                <w:szCs w:val="20"/>
              </w:rPr>
            </w:pPr>
          </w:p>
          <w:p w14:paraId="6EC5B637" w14:textId="23039773" w:rsidR="002C5F99" w:rsidRPr="00753DA0" w:rsidRDefault="002C5F99">
            <w:pPr>
              <w:ind w:right="-180"/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58D5490B" w14:textId="77777777" w:rsidR="00B82D11" w:rsidRDefault="00B82D11" w:rsidP="00C43F87">
      <w:pPr>
        <w:ind w:right="-180"/>
        <w:rPr>
          <w:rFonts w:cs="Arial"/>
          <w:b/>
        </w:rPr>
      </w:pPr>
    </w:p>
    <w:p w14:paraId="5CAF34A9" w14:textId="0492D992" w:rsidR="008C4CB9" w:rsidRPr="001E2AC8" w:rsidRDefault="00034AA7" w:rsidP="001E2AC8">
      <w:pPr>
        <w:rPr>
          <w:rFonts w:eastAsia="Times New Roman"/>
        </w:rPr>
      </w:pPr>
      <w:r>
        <w:rPr>
          <w:rFonts w:eastAsia="Times New Roman"/>
        </w:rPr>
        <w:t>Additional details:</w:t>
      </w:r>
    </w:p>
    <w:p w14:paraId="3F4D8934" w14:textId="77777777" w:rsidR="0090292A" w:rsidRPr="00A06BE0" w:rsidRDefault="001E2AC8" w:rsidP="001E2AC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BE0">
        <w:rPr>
          <w:rFonts w:eastAsia="Times New Roman"/>
        </w:rPr>
        <w:t>Individual does not need to be in same role or at the same organization at the time of their recognition and award.</w:t>
      </w:r>
    </w:p>
    <w:p w14:paraId="39ED6620" w14:textId="77777777" w:rsidR="0090292A" w:rsidRPr="00A06BE0" w:rsidRDefault="008C4CB9" w:rsidP="001E2AC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BE0">
        <w:rPr>
          <w:rFonts w:eastAsia="Times New Roman"/>
        </w:rPr>
        <w:t>This program is GPO</w:t>
      </w:r>
      <w:r w:rsidR="00C328DE" w:rsidRPr="00A06BE0">
        <w:rPr>
          <w:rFonts w:eastAsia="Times New Roman"/>
        </w:rPr>
        <w:t>-</w:t>
      </w:r>
      <w:r w:rsidRPr="00A06BE0">
        <w:rPr>
          <w:rFonts w:eastAsia="Times New Roman"/>
        </w:rPr>
        <w:t xml:space="preserve">agnostic, meaning the individual does not need to be part of any specific GPO member organization to quality. </w:t>
      </w:r>
    </w:p>
    <w:p w14:paraId="0E59E089" w14:textId="644C6DE5" w:rsidR="008C4CB9" w:rsidRPr="00A06BE0" w:rsidRDefault="008C4CB9" w:rsidP="001E2AC8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A06BE0">
        <w:rPr>
          <w:rFonts w:eastAsia="Times New Roman"/>
        </w:rPr>
        <w:t>This program is trade association</w:t>
      </w:r>
      <w:r w:rsidR="00C328DE" w:rsidRPr="00A06BE0">
        <w:rPr>
          <w:rFonts w:eastAsia="Times New Roman"/>
        </w:rPr>
        <w:t>-</w:t>
      </w:r>
      <w:r w:rsidRPr="00A06BE0">
        <w:rPr>
          <w:rFonts w:eastAsia="Times New Roman"/>
        </w:rPr>
        <w:t xml:space="preserve">agnostic, meaning the individual does not need to be an active member of any professional organization to </w:t>
      </w:r>
      <w:r w:rsidR="00821FAE" w:rsidRPr="00A06BE0">
        <w:rPr>
          <w:rFonts w:eastAsia="Times New Roman"/>
        </w:rPr>
        <w:t>qualify</w:t>
      </w:r>
      <w:r w:rsidR="00943CB6">
        <w:rPr>
          <w:rFonts w:eastAsia="Times New Roman"/>
        </w:rPr>
        <w:t>.</w:t>
      </w:r>
    </w:p>
    <w:p w14:paraId="09765C22" w14:textId="77777777" w:rsidR="00D32EAC" w:rsidRDefault="00D32EAC" w:rsidP="00D32EAC">
      <w:pPr>
        <w:pStyle w:val="Heading1"/>
      </w:pPr>
    </w:p>
    <w:p w14:paraId="1815BB9F" w14:textId="77777777" w:rsidR="002E743F" w:rsidRDefault="002E743F">
      <w:pPr>
        <w:rPr>
          <w:rFonts w:ascii="Arial" w:eastAsia="Times New Roman" w:hAnsi="Arial" w:cs="Times New Roman"/>
          <w:b/>
          <w:color w:val="0070C0"/>
          <w:kern w:val="28"/>
          <w:szCs w:val="20"/>
        </w:rPr>
      </w:pPr>
      <w:r>
        <w:br w:type="page"/>
      </w:r>
    </w:p>
    <w:p w14:paraId="37E9A405" w14:textId="71FD28DE" w:rsidR="00D32EAC" w:rsidRDefault="00D32EAC" w:rsidP="00D32EAC">
      <w:pPr>
        <w:pStyle w:val="Heading1"/>
      </w:pPr>
      <w:r>
        <w:lastRenderedPageBreak/>
        <w:t>Nomination Process</w:t>
      </w:r>
      <w:r w:rsidR="00133B7C">
        <w:t xml:space="preserve"> &amp; Award Process</w:t>
      </w:r>
    </w:p>
    <w:p w14:paraId="7FF550B1" w14:textId="77777777" w:rsidR="00647665" w:rsidRDefault="00647665" w:rsidP="00517C42">
      <w:pPr>
        <w:rPr>
          <w:rFonts w:eastAsia="Times New Roman"/>
        </w:rPr>
      </w:pPr>
    </w:p>
    <w:p w14:paraId="28EE44E3" w14:textId="73319C25" w:rsidR="00A24B94" w:rsidRDefault="00AC4B98" w:rsidP="00517C42">
      <w:pPr>
        <w:rPr>
          <w:rFonts w:eastAsia="Times New Roman"/>
        </w:rPr>
      </w:pPr>
      <w:r>
        <w:rPr>
          <w:rFonts w:eastAsia="Times New Roman"/>
        </w:rPr>
        <w:t>Th</w:t>
      </w:r>
      <w:r w:rsidR="00B77F0A">
        <w:rPr>
          <w:rFonts w:eastAsia="Times New Roman"/>
        </w:rPr>
        <w:t>e</w:t>
      </w:r>
      <w:r w:rsidR="00A24B94">
        <w:rPr>
          <w:rFonts w:eastAsia="Times New Roman"/>
        </w:rPr>
        <w:t xml:space="preserve"> </w:t>
      </w:r>
      <w:r w:rsidR="00A24B94" w:rsidRPr="00B77F0A">
        <w:rPr>
          <w:rFonts w:eastAsia="Times New Roman"/>
          <w:b/>
          <w:bCs/>
        </w:rPr>
        <w:t>Leadership Team</w:t>
      </w:r>
      <w:r>
        <w:rPr>
          <w:rFonts w:eastAsia="Times New Roman"/>
        </w:rPr>
        <w:t xml:space="preserve"> will</w:t>
      </w:r>
      <w:r w:rsidR="00A24B94">
        <w:rPr>
          <w:rFonts w:eastAsia="Times New Roman"/>
        </w:rPr>
        <w:t>:</w:t>
      </w:r>
    </w:p>
    <w:p w14:paraId="2A995C07" w14:textId="633D1135" w:rsidR="00A24B94" w:rsidRPr="009D24BC" w:rsidRDefault="00A24B94" w:rsidP="001119E2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D24BC">
        <w:rPr>
          <w:rFonts w:eastAsia="Times New Roman"/>
        </w:rPr>
        <w:t>F</w:t>
      </w:r>
      <w:r w:rsidR="00AC4B98" w:rsidRPr="009D24BC">
        <w:rPr>
          <w:rFonts w:eastAsia="Times New Roman"/>
        </w:rPr>
        <w:t xml:space="preserve">inalize the award </w:t>
      </w:r>
      <w:r w:rsidR="00133B7C" w:rsidRPr="009D24BC">
        <w:rPr>
          <w:rFonts w:eastAsia="Times New Roman"/>
        </w:rPr>
        <w:t>criteria and</w:t>
      </w:r>
      <w:r w:rsidR="00AC4B98" w:rsidRPr="009D24BC">
        <w:rPr>
          <w:rFonts w:eastAsia="Times New Roman"/>
        </w:rPr>
        <w:t xml:space="preserve"> amend over time as needed.  </w:t>
      </w:r>
    </w:p>
    <w:p w14:paraId="7B91564B" w14:textId="5844EA93" w:rsidR="00A24B94" w:rsidRPr="009D24BC" w:rsidRDefault="00A24B94" w:rsidP="00574425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D24BC">
        <w:rPr>
          <w:rFonts w:eastAsia="Times New Roman"/>
        </w:rPr>
        <w:t>D</w:t>
      </w:r>
      <w:r w:rsidR="00E1638F" w:rsidRPr="009D24BC">
        <w:rPr>
          <w:rFonts w:eastAsia="Times New Roman"/>
        </w:rPr>
        <w:t>etermine how to best communicate this award program to the industry</w:t>
      </w:r>
      <w:r w:rsidR="00574425" w:rsidRPr="009D24BC">
        <w:rPr>
          <w:rFonts w:eastAsia="Times New Roman"/>
        </w:rPr>
        <w:t xml:space="preserve">, to </w:t>
      </w:r>
      <w:r w:rsidR="00E1638F" w:rsidRPr="009D24BC">
        <w:rPr>
          <w:rFonts w:eastAsia="Times New Roman"/>
        </w:rPr>
        <w:t xml:space="preserve">solicit </w:t>
      </w:r>
      <w:r w:rsidR="00574425" w:rsidRPr="009D24BC">
        <w:rPr>
          <w:rFonts w:eastAsia="Times New Roman"/>
        </w:rPr>
        <w:t xml:space="preserve">a wide range of </w:t>
      </w:r>
      <w:r w:rsidR="003E3CE1" w:rsidRPr="009D24BC">
        <w:rPr>
          <w:rFonts w:eastAsia="Times New Roman"/>
        </w:rPr>
        <w:t xml:space="preserve">nominations.  </w:t>
      </w:r>
      <w:r w:rsidR="008E53AD">
        <w:rPr>
          <w:rFonts w:eastAsia="Times New Roman"/>
        </w:rPr>
        <w:t xml:space="preserve">This may necessitate the building of a website and </w:t>
      </w:r>
      <w:r w:rsidR="00F72602">
        <w:rPr>
          <w:rFonts w:eastAsia="Times New Roman"/>
        </w:rPr>
        <w:t xml:space="preserve">simple intake forms to solicit nominations.  </w:t>
      </w:r>
    </w:p>
    <w:p w14:paraId="4531534C" w14:textId="070C00AD" w:rsidR="00574425" w:rsidRPr="009D24BC" w:rsidRDefault="00574425" w:rsidP="00920709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D24BC">
        <w:rPr>
          <w:rFonts w:eastAsia="Times New Roman"/>
        </w:rPr>
        <w:t xml:space="preserve">Determine how to </w:t>
      </w:r>
      <w:r w:rsidR="004629FF">
        <w:rPr>
          <w:rFonts w:eastAsia="Times New Roman"/>
        </w:rPr>
        <w:t xml:space="preserve">best </w:t>
      </w:r>
      <w:r w:rsidRPr="009D24BC">
        <w:rPr>
          <w:rFonts w:eastAsia="Times New Roman"/>
        </w:rPr>
        <w:t xml:space="preserve">recognize, </w:t>
      </w:r>
      <w:r w:rsidR="009D24BC" w:rsidRPr="009D24BC">
        <w:rPr>
          <w:rFonts w:eastAsia="Times New Roman"/>
        </w:rPr>
        <w:t>acknowledge,</w:t>
      </w:r>
      <w:r w:rsidRPr="009D24BC">
        <w:rPr>
          <w:rFonts w:eastAsia="Times New Roman"/>
        </w:rPr>
        <w:t xml:space="preserve"> and promote the </w:t>
      </w:r>
      <w:r w:rsidR="009D24BC" w:rsidRPr="009D24BC">
        <w:rPr>
          <w:rFonts w:eastAsia="Times New Roman"/>
        </w:rPr>
        <w:t xml:space="preserve">award recipients for maximum exposure and impact. </w:t>
      </w:r>
    </w:p>
    <w:p w14:paraId="5BBA7ACB" w14:textId="7282A138" w:rsidR="00AC4B98" w:rsidRDefault="00A24B94" w:rsidP="00920709">
      <w:pPr>
        <w:pStyle w:val="ListParagraph"/>
        <w:numPr>
          <w:ilvl w:val="0"/>
          <w:numId w:val="14"/>
        </w:numPr>
        <w:rPr>
          <w:rFonts w:eastAsia="Times New Roman"/>
        </w:rPr>
      </w:pPr>
      <w:r w:rsidRPr="009D24BC">
        <w:rPr>
          <w:rFonts w:eastAsia="Times New Roman"/>
        </w:rPr>
        <w:t>E</w:t>
      </w:r>
      <w:r w:rsidR="00133B7C" w:rsidRPr="009D24BC">
        <w:rPr>
          <w:rFonts w:eastAsia="Times New Roman"/>
        </w:rPr>
        <w:t xml:space="preserve">stablish </w:t>
      </w:r>
      <w:r w:rsidR="009D24BC" w:rsidRPr="009D24BC">
        <w:rPr>
          <w:rFonts w:eastAsia="Times New Roman"/>
        </w:rPr>
        <w:t xml:space="preserve">and maintain </w:t>
      </w:r>
      <w:r w:rsidR="00582D82" w:rsidRPr="009D24BC">
        <w:rPr>
          <w:rFonts w:eastAsia="Times New Roman"/>
        </w:rPr>
        <w:t xml:space="preserve">two independent </w:t>
      </w:r>
      <w:r w:rsidR="00D507BF" w:rsidRPr="009D24BC">
        <w:rPr>
          <w:rFonts w:eastAsia="Times New Roman"/>
        </w:rPr>
        <w:t>Nomination Review Subcommittees</w:t>
      </w:r>
      <w:r w:rsidR="00133B7C" w:rsidRPr="009D24BC">
        <w:rPr>
          <w:rFonts w:eastAsia="Times New Roman"/>
        </w:rPr>
        <w:t xml:space="preserve"> to </w:t>
      </w:r>
      <w:r w:rsidR="00582D82" w:rsidRPr="009D24BC">
        <w:rPr>
          <w:rFonts w:eastAsia="Times New Roman"/>
        </w:rPr>
        <w:t>manage the nomination process for the providers and supplier awards</w:t>
      </w:r>
      <w:r w:rsidRPr="009D24BC">
        <w:rPr>
          <w:rFonts w:eastAsia="Times New Roman"/>
        </w:rPr>
        <w:t xml:space="preserve">.  </w:t>
      </w:r>
    </w:p>
    <w:p w14:paraId="186FE046" w14:textId="2FBF4F74" w:rsidR="004629FF" w:rsidRDefault="004629FF" w:rsidP="00920709">
      <w:pPr>
        <w:pStyle w:val="ListParagraph"/>
        <w:numPr>
          <w:ilvl w:val="0"/>
          <w:numId w:val="14"/>
        </w:numPr>
        <w:rPr>
          <w:rFonts w:eastAsia="Times New Roman"/>
        </w:rPr>
      </w:pPr>
      <w:r>
        <w:rPr>
          <w:rFonts w:eastAsia="Times New Roman"/>
        </w:rPr>
        <w:t xml:space="preserve">Determine </w:t>
      </w:r>
      <w:proofErr w:type="gramStart"/>
      <w:r>
        <w:rPr>
          <w:rFonts w:eastAsia="Times New Roman"/>
        </w:rPr>
        <w:t>if and when</w:t>
      </w:r>
      <w:proofErr w:type="gramEnd"/>
      <w:r>
        <w:rPr>
          <w:rFonts w:eastAsia="Times New Roman"/>
        </w:rPr>
        <w:t xml:space="preserve"> a financial budget is needed to support this program, and how </w:t>
      </w:r>
      <w:r w:rsidR="00A90CAA">
        <w:rPr>
          <w:rFonts w:eastAsia="Times New Roman"/>
        </w:rPr>
        <w:t xml:space="preserve">this program will be funded (if necessary).  </w:t>
      </w:r>
    </w:p>
    <w:p w14:paraId="31644264" w14:textId="77777777" w:rsidR="003556C5" w:rsidRDefault="003556C5" w:rsidP="00A24B94">
      <w:pPr>
        <w:rPr>
          <w:rFonts w:eastAsia="Times New Roman"/>
        </w:rPr>
      </w:pPr>
    </w:p>
    <w:p w14:paraId="6A86E79F" w14:textId="77777777" w:rsidR="00647665" w:rsidRDefault="00647665">
      <w:pPr>
        <w:rPr>
          <w:rFonts w:ascii="Arial" w:eastAsia="Times New Roman" w:hAnsi="Arial" w:cs="Times New Roman"/>
          <w:b/>
          <w:color w:val="0070C0"/>
          <w:kern w:val="28"/>
          <w:szCs w:val="20"/>
        </w:rPr>
      </w:pPr>
      <w:r>
        <w:rPr>
          <w:rFonts w:ascii="Arial" w:eastAsia="Times New Roman" w:hAnsi="Arial" w:cs="Times New Roman"/>
          <w:b/>
          <w:color w:val="0070C0"/>
          <w:kern w:val="28"/>
          <w:szCs w:val="20"/>
        </w:rPr>
        <w:br w:type="page"/>
      </w:r>
    </w:p>
    <w:p w14:paraId="6FCA9D8C" w14:textId="480B09E1" w:rsidR="001053E5" w:rsidRPr="00647665" w:rsidRDefault="00647665" w:rsidP="00647665">
      <w:pPr>
        <w:rPr>
          <w:rFonts w:ascii="Arial" w:eastAsia="Times New Roman" w:hAnsi="Arial" w:cs="Times New Roman"/>
          <w:b/>
          <w:color w:val="0070C0"/>
          <w:kern w:val="28"/>
          <w:szCs w:val="20"/>
        </w:rPr>
      </w:pPr>
      <w:r w:rsidRPr="00647665">
        <w:rPr>
          <w:rFonts w:ascii="Arial" w:eastAsia="Times New Roman" w:hAnsi="Arial" w:cs="Times New Roman"/>
          <w:b/>
          <w:color w:val="0070C0"/>
          <w:kern w:val="28"/>
          <w:szCs w:val="20"/>
        </w:rPr>
        <w:lastRenderedPageBreak/>
        <w:t>Selection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8E2CEA" w14:paraId="5381BA14" w14:textId="77777777" w:rsidTr="001D6CD3">
        <w:tc>
          <w:tcPr>
            <w:tcW w:w="5035" w:type="dxa"/>
            <w:shd w:val="clear" w:color="auto" w:fill="E2EFD9" w:themeFill="accent6" w:themeFillTint="33"/>
          </w:tcPr>
          <w:p w14:paraId="54BF5EF6" w14:textId="4E920371" w:rsidR="008E2CEA" w:rsidRDefault="008E2CEA" w:rsidP="008E2C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Provider</w:t>
            </w:r>
          </w:p>
        </w:tc>
        <w:tc>
          <w:tcPr>
            <w:tcW w:w="5035" w:type="dxa"/>
          </w:tcPr>
          <w:p w14:paraId="4CAAE78C" w14:textId="591EDA2E" w:rsidR="008E2CEA" w:rsidRDefault="008E2CEA" w:rsidP="008E2C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Supplier</w:t>
            </w:r>
          </w:p>
        </w:tc>
      </w:tr>
      <w:tr w:rsidR="008E2CEA" w14:paraId="7DF647BC" w14:textId="77777777" w:rsidTr="001D6CD3">
        <w:tc>
          <w:tcPr>
            <w:tcW w:w="5035" w:type="dxa"/>
            <w:shd w:val="clear" w:color="auto" w:fill="E2EFD9" w:themeFill="accent6" w:themeFillTint="33"/>
          </w:tcPr>
          <w:p w14:paraId="019E7EC2" w14:textId="166AF99A" w:rsidR="008E2CEA" w:rsidRPr="00C642D6" w:rsidRDefault="008E2CEA" w:rsidP="008E2CEA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 xml:space="preserve">Collaboration and </w:t>
            </w:r>
            <w:r w:rsidRPr="000268B1">
              <w:rPr>
                <w:rFonts w:eastAsia="Times New Roman"/>
                <w:sz w:val="20"/>
                <w:szCs w:val="20"/>
              </w:rPr>
              <w:t>Communication</w:t>
            </w:r>
            <w:r w:rsidR="003C3EC2" w:rsidRPr="000268B1">
              <w:rPr>
                <w:rFonts w:eastAsia="Times New Roman"/>
                <w:sz w:val="20"/>
                <w:szCs w:val="20"/>
              </w:rPr>
              <w:t xml:space="preserve"> 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0E6999" w:rsidRPr="003F13FA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0%)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8692797" w14:textId="77777777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</w:t>
            </w:r>
            <w:r w:rsidRPr="00C642D6">
              <w:rPr>
                <w:rFonts w:eastAsia="Times New Roman"/>
                <w:sz w:val="20"/>
                <w:szCs w:val="20"/>
              </w:rPr>
              <w:t xml:space="preserve">orks with </w:t>
            </w:r>
            <w:r>
              <w:rPr>
                <w:rFonts w:eastAsia="Times New Roman"/>
                <w:sz w:val="20"/>
                <w:szCs w:val="20"/>
              </w:rPr>
              <w:t xml:space="preserve">local businesses and </w:t>
            </w:r>
            <w:r w:rsidRPr="00C642D6">
              <w:rPr>
                <w:rFonts w:eastAsia="Times New Roman"/>
                <w:sz w:val="20"/>
                <w:szCs w:val="20"/>
              </w:rPr>
              <w:t>other</w:t>
            </w:r>
            <w:r>
              <w:rPr>
                <w:rFonts w:eastAsia="Times New Roman"/>
                <w:sz w:val="20"/>
                <w:szCs w:val="20"/>
              </w:rPr>
              <w:t xml:space="preserve">s </w:t>
            </w:r>
            <w:r w:rsidRPr="00C642D6">
              <w:rPr>
                <w:rFonts w:eastAsia="Times New Roman"/>
                <w:sz w:val="20"/>
                <w:szCs w:val="20"/>
              </w:rPr>
              <w:t xml:space="preserve">to solve for broader challenges in service to </w:t>
            </w:r>
            <w:r>
              <w:rPr>
                <w:rFonts w:eastAsia="Times New Roman"/>
                <w:sz w:val="20"/>
                <w:szCs w:val="20"/>
              </w:rPr>
              <w:t xml:space="preserve">the community, </w:t>
            </w:r>
            <w:proofErr w:type="gramStart"/>
            <w:r w:rsidRPr="00C642D6">
              <w:rPr>
                <w:rFonts w:eastAsia="Times New Roman"/>
                <w:sz w:val="20"/>
                <w:szCs w:val="20"/>
              </w:rPr>
              <w:t>patients</w:t>
            </w:r>
            <w:proofErr w:type="gramEnd"/>
            <w:r w:rsidRPr="00C642D6">
              <w:rPr>
                <w:rFonts w:eastAsia="Times New Roman"/>
                <w:sz w:val="20"/>
                <w:szCs w:val="20"/>
              </w:rPr>
              <w:t xml:space="preserve"> and families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15208E52" w14:textId="77777777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Inspires others to be visionary, uniting them around a set of common goals and objectives.</w:t>
            </w:r>
          </w:p>
          <w:p w14:paraId="1D0097B0" w14:textId="77777777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Exhibits</w:t>
            </w:r>
            <w:r>
              <w:rPr>
                <w:rFonts w:eastAsia="Times New Roman"/>
                <w:sz w:val="20"/>
                <w:szCs w:val="20"/>
              </w:rPr>
              <w:t xml:space="preserve"> a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creative and collaborative long-term approach to</w:t>
            </w:r>
            <w:r>
              <w:rPr>
                <w:rFonts w:eastAsia="Times New Roman"/>
                <w:sz w:val="20"/>
                <w:szCs w:val="20"/>
              </w:rPr>
              <w:t xml:space="preserve"> community and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supplier engagement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1B8068E7" w14:textId="77777777" w:rsidR="008E2CEA" w:rsidRPr="00C642D6" w:rsidRDefault="008E2CEA" w:rsidP="008E2CEA">
            <w:pPr>
              <w:pStyle w:val="ListParagraph"/>
              <w:rPr>
                <w:rFonts w:eastAsia="Times New Roman"/>
                <w:sz w:val="20"/>
                <w:szCs w:val="20"/>
              </w:rPr>
            </w:pPr>
          </w:p>
          <w:p w14:paraId="28453412" w14:textId="255E4008" w:rsidR="008E2CEA" w:rsidRPr="00C642D6" w:rsidRDefault="008E2CEA" w:rsidP="008E2CEA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 xml:space="preserve">Execution and </w:t>
            </w:r>
            <w:r w:rsidRPr="000268B1">
              <w:rPr>
                <w:rFonts w:eastAsia="Times New Roman"/>
                <w:sz w:val="20"/>
                <w:szCs w:val="20"/>
              </w:rPr>
              <w:t>Outcomes</w:t>
            </w:r>
            <w:r w:rsidR="003C3EC2" w:rsidRPr="000268B1">
              <w:rPr>
                <w:rFonts w:eastAsia="Times New Roman"/>
                <w:sz w:val="20"/>
                <w:szCs w:val="20"/>
              </w:rPr>
              <w:t xml:space="preserve"> 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(3</w:t>
            </w:r>
            <w:r w:rsidR="000E6999" w:rsidRPr="003F13FA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</w:p>
          <w:p w14:paraId="72F59AB1" w14:textId="14045F33" w:rsidR="000E6999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 xml:space="preserve">Demonstrates </w:t>
            </w:r>
            <w:r w:rsidR="006F3915">
              <w:rPr>
                <w:rFonts w:eastAsia="Times New Roman"/>
                <w:sz w:val="20"/>
                <w:szCs w:val="20"/>
              </w:rPr>
              <w:t>measurable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C642D6">
              <w:rPr>
                <w:rFonts w:eastAsia="Times New Roman"/>
                <w:sz w:val="20"/>
                <w:szCs w:val="20"/>
              </w:rPr>
              <w:t xml:space="preserve">benefits to the healthcare organization through operational </w:t>
            </w:r>
            <w:r>
              <w:rPr>
                <w:rFonts w:eastAsia="Times New Roman"/>
                <w:sz w:val="20"/>
                <w:szCs w:val="20"/>
              </w:rPr>
              <w:t xml:space="preserve">and financial </w:t>
            </w:r>
            <w:r w:rsidRPr="00C642D6">
              <w:rPr>
                <w:rFonts w:eastAsia="Times New Roman"/>
                <w:sz w:val="20"/>
                <w:szCs w:val="20"/>
              </w:rPr>
              <w:t>excellence and improved clinical outcomes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  <w:p w14:paraId="533C7D73" w14:textId="006A3276" w:rsidR="000E6999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Ideas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and solutions </w:t>
            </w:r>
            <w:r>
              <w:rPr>
                <w:rFonts w:eastAsia="Times New Roman"/>
                <w:sz w:val="20"/>
                <w:szCs w:val="20"/>
              </w:rPr>
              <w:t xml:space="preserve">to supply chain </w:t>
            </w:r>
            <w:r w:rsidRPr="00C642D6">
              <w:rPr>
                <w:rFonts w:eastAsia="Times New Roman"/>
                <w:sz w:val="20"/>
                <w:szCs w:val="20"/>
              </w:rPr>
              <w:t xml:space="preserve">challenges </w:t>
            </w:r>
            <w:r>
              <w:rPr>
                <w:rFonts w:eastAsia="Times New Roman"/>
                <w:sz w:val="20"/>
                <w:szCs w:val="20"/>
              </w:rPr>
              <w:t xml:space="preserve">that are scalable across the organization and the broader healthcare field. </w:t>
            </w:r>
          </w:p>
          <w:p w14:paraId="52A57613" w14:textId="77777777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Displays a commitment to advancing environmental, social and governance factors and the long-term benefit to their organization.</w:t>
            </w:r>
          </w:p>
          <w:p w14:paraId="7D48267F" w14:textId="77777777" w:rsidR="008E2CEA" w:rsidRPr="00C642D6" w:rsidRDefault="008E2CEA" w:rsidP="008E2CEA">
            <w:pPr>
              <w:ind w:left="360"/>
              <w:rPr>
                <w:sz w:val="20"/>
                <w:szCs w:val="20"/>
              </w:rPr>
            </w:pPr>
          </w:p>
          <w:p w14:paraId="53F9C687" w14:textId="55B5E586" w:rsidR="008E2CEA" w:rsidRPr="00C642D6" w:rsidRDefault="008E2CEA" w:rsidP="008E2CEA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 xml:space="preserve">Supply Chain </w:t>
            </w:r>
            <w:r w:rsidRPr="000268B1">
              <w:rPr>
                <w:rFonts w:eastAsia="Times New Roman"/>
                <w:sz w:val="20"/>
                <w:szCs w:val="20"/>
              </w:rPr>
              <w:t>Resiliency</w:t>
            </w:r>
            <w:r w:rsidR="00241FC9">
              <w:rPr>
                <w:rFonts w:eastAsia="Times New Roman"/>
                <w:sz w:val="20"/>
                <w:szCs w:val="20"/>
              </w:rPr>
              <w:t xml:space="preserve"> and Preparedness</w:t>
            </w:r>
            <w:r w:rsidR="003C3EC2" w:rsidRPr="000268B1">
              <w:rPr>
                <w:rFonts w:eastAsia="Times New Roman"/>
                <w:sz w:val="20"/>
                <w:szCs w:val="20"/>
              </w:rPr>
              <w:t xml:space="preserve"> 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0E6999" w:rsidRPr="003F13FA">
              <w:rPr>
                <w:rFonts w:eastAsia="Times New Roman"/>
                <w:b/>
                <w:bCs/>
                <w:sz w:val="20"/>
                <w:szCs w:val="20"/>
              </w:rPr>
              <w:t>35</w:t>
            </w:r>
            <w:r w:rsidR="003C3EC2" w:rsidRPr="003F13FA">
              <w:rPr>
                <w:rFonts w:eastAsia="Times New Roman"/>
                <w:b/>
                <w:bCs/>
                <w:sz w:val="20"/>
                <w:szCs w:val="20"/>
              </w:rPr>
              <w:t>%)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11DD160" w14:textId="77777777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Creates an environment that fosters strategic dialogue and operational alignment with key trading partners.</w:t>
            </w:r>
          </w:p>
          <w:p w14:paraId="2FF6272B" w14:textId="7020513A" w:rsidR="000E6999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Clinically integrated supply chain approach to advancing resiliency measures,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preparedness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and education across the care continuum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42A752E4" w14:textId="1149678D" w:rsidR="008E2CEA" w:rsidRPr="00C642D6" w:rsidRDefault="000E6999" w:rsidP="000E6999">
            <w:pPr>
              <w:pStyle w:val="ListParagraph"/>
              <w:numPr>
                <w:ilvl w:val="0"/>
                <w:numId w:val="20"/>
              </w:num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Mitigates risk across </w:t>
            </w:r>
            <w:r w:rsidRPr="00C642D6">
              <w:rPr>
                <w:rFonts w:eastAsia="Times New Roman"/>
                <w:sz w:val="20"/>
                <w:szCs w:val="20"/>
              </w:rPr>
              <w:t>supply chain</w:t>
            </w:r>
            <w:r>
              <w:rPr>
                <w:rFonts w:eastAsia="Times New Roman"/>
                <w:sz w:val="20"/>
                <w:szCs w:val="20"/>
              </w:rPr>
              <w:t xml:space="preserve"> and logistics channels engaging internal and external relationships.</w:t>
            </w:r>
          </w:p>
        </w:tc>
        <w:tc>
          <w:tcPr>
            <w:tcW w:w="5035" w:type="dxa"/>
          </w:tcPr>
          <w:p w14:paraId="0CE816FE" w14:textId="4FECDD90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High Impact Solution (25%)</w:t>
            </w:r>
          </w:p>
          <w:p w14:paraId="143BBC77" w14:textId="22D90D44" w:rsidR="000E6999" w:rsidRPr="00C642D6" w:rsidRDefault="00F767AF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</w:r>
            <w:r w:rsidR="000E6999" w:rsidRPr="00C642D6">
              <w:rPr>
                <w:rFonts w:eastAsia="Times New Roman"/>
                <w:sz w:val="20"/>
                <w:szCs w:val="20"/>
              </w:rPr>
              <w:t>Timely and relevant solution that addresses acknowledged pain point in Health Care Supply Chain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52B9EDCE" w14:textId="7BDEB275" w:rsidR="000E6999" w:rsidRPr="00C642D6" w:rsidRDefault="000E6999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Transferable and scalable solution, with potential for collective impact across many providers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41E4EA1A" w14:textId="29711AA8" w:rsidR="000E6999" w:rsidRPr="00C642D6" w:rsidRDefault="000E6999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Delivers clinical, financial and/or operational results, which are measurable and sustainable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5BD1B82E" w14:textId="05F5C15D" w:rsidR="00F767AF" w:rsidRPr="00C642D6" w:rsidRDefault="00F767AF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</w:p>
          <w:p w14:paraId="1793B439" w14:textId="77777777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</w:p>
          <w:p w14:paraId="1875BDAF" w14:textId="268DBE75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Innovative (25%)</w:t>
            </w:r>
          </w:p>
          <w:p w14:paraId="01B94520" w14:textId="73186516" w:rsidR="000E6999" w:rsidRPr="00C642D6" w:rsidRDefault="00F767AF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</w:r>
            <w:r w:rsidR="000E6999" w:rsidRPr="00C642D6">
              <w:rPr>
                <w:rFonts w:eastAsia="Times New Roman"/>
                <w:sz w:val="20"/>
                <w:szCs w:val="20"/>
              </w:rPr>
              <w:t>Creative, novel, or disruptive approach to Health Care Supply Chain challenge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3B9D810A" w14:textId="160BE3FB" w:rsidR="000E6999" w:rsidRPr="00C642D6" w:rsidRDefault="000E6999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Models quick adaptation in response to pandemics, disaster responses or other acute needs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246C411E" w14:textId="6135DA2A" w:rsidR="000E6999" w:rsidRPr="00C642D6" w:rsidRDefault="000E6999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Courage in challenging the status quo, in the interest of improving care and/or elevating the healthcare supply chain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525218EF" w14:textId="680AD644" w:rsidR="00F767AF" w:rsidRPr="00C642D6" w:rsidRDefault="00F767AF" w:rsidP="000E6999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</w:p>
          <w:p w14:paraId="3293607E" w14:textId="77777777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</w:p>
          <w:p w14:paraId="5AE9892E" w14:textId="04082296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Inclusive &amp; Collaborative (25%)</w:t>
            </w:r>
          </w:p>
          <w:p w14:paraId="4C408785" w14:textId="69FF701F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Cultivates trust and cooperation with peers, customers, and industry partners to co-create better solution(s)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629BE30A" w14:textId="077D4090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Champions industry collabora</w:t>
            </w:r>
            <w:r w:rsidRPr="00A06BE0">
              <w:rPr>
                <w:rFonts w:eastAsia="Times New Roman"/>
                <w:sz w:val="20"/>
                <w:szCs w:val="20"/>
              </w:rPr>
              <w:t>t</w:t>
            </w:r>
            <w:r w:rsidR="00C31D76" w:rsidRPr="00A06BE0">
              <w:rPr>
                <w:rFonts w:eastAsia="Times New Roman"/>
                <w:sz w:val="20"/>
                <w:szCs w:val="20"/>
              </w:rPr>
              <w:t>ion</w:t>
            </w:r>
            <w:r w:rsidRPr="00C642D6">
              <w:rPr>
                <w:rFonts w:eastAsia="Times New Roman"/>
                <w:sz w:val="20"/>
                <w:szCs w:val="20"/>
              </w:rPr>
              <w:t xml:space="preserve"> and meaningfully advances industry-level initiatives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1161DBCA" w14:textId="6B228BFB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Values differences by consistently inviting a wide variety of experiences, cultures, and viewpoints (Including voices outside of healthcare / other industries)</w:t>
            </w:r>
            <w:r w:rsidR="00AA5B5B">
              <w:rPr>
                <w:rFonts w:eastAsia="Times New Roman"/>
                <w:sz w:val="20"/>
                <w:szCs w:val="20"/>
              </w:rPr>
              <w:t>.</w:t>
            </w:r>
          </w:p>
          <w:p w14:paraId="72399019" w14:textId="77777777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</w:p>
          <w:p w14:paraId="255A065F" w14:textId="2B8A8701" w:rsidR="00F767AF" w:rsidRPr="00C642D6" w:rsidRDefault="00F767AF" w:rsidP="00F767AF">
            <w:pPr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Customer Experience (25%)</w:t>
            </w:r>
          </w:p>
          <w:p w14:paraId="09B32496" w14:textId="77777777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Goes to heroic lengths to meet or exceed customer needs and expectations</w:t>
            </w:r>
          </w:p>
          <w:p w14:paraId="388F3934" w14:textId="77777777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>Demonstrates extraordinary operational excellence with transparency, efficiency, and supply resilience</w:t>
            </w:r>
          </w:p>
          <w:p w14:paraId="699247E5" w14:textId="77777777" w:rsidR="00F767AF" w:rsidRPr="00C642D6" w:rsidRDefault="00F767AF" w:rsidP="00F767AF">
            <w:pPr>
              <w:ind w:left="540" w:hanging="540"/>
              <w:rPr>
                <w:rFonts w:eastAsia="Times New Roman"/>
                <w:sz w:val="20"/>
                <w:szCs w:val="20"/>
              </w:rPr>
            </w:pPr>
            <w:r w:rsidRPr="00C642D6">
              <w:rPr>
                <w:rFonts w:eastAsia="Times New Roman"/>
                <w:sz w:val="20"/>
                <w:szCs w:val="20"/>
              </w:rPr>
              <w:t>•</w:t>
            </w:r>
            <w:r w:rsidRPr="00C642D6">
              <w:rPr>
                <w:rFonts w:eastAsia="Times New Roman"/>
                <w:sz w:val="20"/>
                <w:szCs w:val="20"/>
              </w:rPr>
              <w:tab/>
              <w:t xml:space="preserve">Models customer intimacy, where efforts are aligned with customer’s values, </w:t>
            </w:r>
            <w:proofErr w:type="gramStart"/>
            <w:r w:rsidRPr="00C642D6">
              <w:rPr>
                <w:rFonts w:eastAsia="Times New Roman"/>
                <w:sz w:val="20"/>
                <w:szCs w:val="20"/>
              </w:rPr>
              <w:t>goals</w:t>
            </w:r>
            <w:proofErr w:type="gramEnd"/>
            <w:r w:rsidRPr="00C642D6">
              <w:rPr>
                <w:rFonts w:eastAsia="Times New Roman"/>
                <w:sz w:val="20"/>
                <w:szCs w:val="20"/>
              </w:rPr>
              <w:t xml:space="preserve"> and needs</w:t>
            </w:r>
          </w:p>
          <w:p w14:paraId="2823BC29" w14:textId="77777777" w:rsidR="008E2CEA" w:rsidRPr="00C642D6" w:rsidRDefault="008E2CEA" w:rsidP="0064766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4D1DCDC" w14:textId="7961363D" w:rsidR="00844F14" w:rsidRDefault="00844F14">
      <w:pPr>
        <w:rPr>
          <w:rFonts w:ascii="Arial" w:eastAsia="Times New Roman" w:hAnsi="Arial" w:cs="Times New Roman"/>
          <w:b/>
          <w:color w:val="0070C0"/>
          <w:kern w:val="28"/>
          <w:szCs w:val="20"/>
        </w:rPr>
      </w:pPr>
    </w:p>
    <w:sectPr w:rsidR="00844F14" w:rsidSect="00C43F87">
      <w:headerReference w:type="default" r:id="rId10"/>
      <w:footerReference w:type="default" r:id="rId11"/>
      <w:pgSz w:w="12240" w:h="15840" w:code="1"/>
      <w:pgMar w:top="2160" w:right="108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57DB" w14:textId="77777777" w:rsidR="008108C4" w:rsidRDefault="008108C4" w:rsidP="00C43F87">
      <w:pPr>
        <w:spacing w:after="0" w:line="240" w:lineRule="auto"/>
      </w:pPr>
      <w:r>
        <w:separator/>
      </w:r>
    </w:p>
  </w:endnote>
  <w:endnote w:type="continuationSeparator" w:id="0">
    <w:p w14:paraId="021020FD" w14:textId="77777777" w:rsidR="008108C4" w:rsidRDefault="008108C4" w:rsidP="00C4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45F3" w14:textId="5F094B01" w:rsidR="00C43F87" w:rsidRDefault="00C43F87" w:rsidP="00C43F87">
    <w:pPr>
      <w:pStyle w:val="Footer"/>
      <w:ind w:left="-1440" w:right="-144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122DBDF" wp14:editId="2785600A">
              <wp:simplePos x="0" y="0"/>
              <wp:positionH relativeFrom="page">
                <wp:posOffset>9525</wp:posOffset>
              </wp:positionH>
              <wp:positionV relativeFrom="page">
                <wp:posOffset>9625330</wp:posOffset>
              </wp:positionV>
              <wp:extent cx="7296150" cy="190500"/>
              <wp:effectExtent l="9525" t="5080" r="9525" b="4445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96150" cy="190500"/>
                        <a:chOff x="0" y="14970"/>
                        <a:chExt cx="12255" cy="300"/>
                      </a:xfrm>
                    </wpg:grpSpPr>
                    <wps:wsp>
                      <wps:cNvPr id="1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9AD91" w14:textId="3DB73294" w:rsidR="00C43F87" w:rsidRDefault="00C43F87" w:rsidP="00C43F87">
                            <w:pPr>
                              <w:jc w:val="center"/>
                            </w:pPr>
                            <w:r w:rsidRPr="00A526C2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A526C2">
                              <w:fldChar w:fldCharType="separate"/>
                            </w:r>
                            <w:r w:rsidR="00FC32A1" w:rsidRPr="00FC32A1">
                              <w:rPr>
                                <w:noProof/>
                                <w:color w:val="8C8C8C"/>
                              </w:rPr>
                              <w:t>4</w:t>
                            </w:r>
                            <w:r w:rsidRPr="00A526C2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22DBDF" id="Group 11" o:spid="_x0000_s1026" style="position:absolute;left:0;text-align:left;margin-left:.75pt;margin-top:757.9pt;width:574.5pt;height:15pt;z-index:25166233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0159AD91" w14:textId="3DB73294" w:rsidR="00C43F87" w:rsidRDefault="00C43F87" w:rsidP="00C43F87">
                      <w:pPr>
                        <w:jc w:val="center"/>
                      </w:pPr>
                      <w:r w:rsidRPr="00A526C2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A526C2">
                        <w:fldChar w:fldCharType="separate"/>
                      </w:r>
                      <w:r w:rsidR="00FC32A1" w:rsidRPr="00FC32A1">
                        <w:rPr>
                          <w:noProof/>
                          <w:color w:val="8C8C8C"/>
                        </w:rPr>
                        <w:t>4</w:t>
                      </w:r>
                      <w:r w:rsidRPr="00A526C2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+XDwgAAANsAAAAPAAAAZHJzL2Rvd25yZXYueG1sRE9Li8Iw&#10;EL4L+x/CLOxFNFVQ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Bcn+XD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  <w:p w14:paraId="521C1307" w14:textId="5769DB95" w:rsidR="00C43F87" w:rsidRDefault="00C43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36CA" w14:textId="77777777" w:rsidR="008108C4" w:rsidRDefault="008108C4" w:rsidP="00C43F87">
      <w:pPr>
        <w:spacing w:after="0" w:line="240" w:lineRule="auto"/>
      </w:pPr>
      <w:r>
        <w:separator/>
      </w:r>
    </w:p>
  </w:footnote>
  <w:footnote w:type="continuationSeparator" w:id="0">
    <w:p w14:paraId="0A39D496" w14:textId="77777777" w:rsidR="008108C4" w:rsidRDefault="008108C4" w:rsidP="00C4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508F" w14:textId="204B9256" w:rsidR="00C43F87" w:rsidRPr="00C5388B" w:rsidRDefault="00750CC0" w:rsidP="00C43F87">
    <w:pPr>
      <w:spacing w:after="60"/>
      <w:ind w:left="-18" w:right="-108" w:hanging="252"/>
      <w:rPr>
        <w:rFonts w:ascii="Candara" w:hAnsi="Candara" w:cs="Arial"/>
        <w:b/>
        <w:bCs/>
        <w:color w:val="2F5496" w:themeColor="accent1" w:themeShade="BF"/>
        <w:sz w:val="32"/>
        <w:szCs w:val="32"/>
      </w:rPr>
    </w:pPr>
    <w:r w:rsidRPr="00C5388B">
      <w:rPr>
        <w:rFonts w:ascii="Candara" w:hAnsi="Candara" w:cs="Arial"/>
        <w:b/>
        <w:bCs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63360" behindDoc="0" locked="0" layoutInCell="1" allowOverlap="1" wp14:anchorId="222E8DB6" wp14:editId="6777C485">
          <wp:simplePos x="0" y="0"/>
          <wp:positionH relativeFrom="column">
            <wp:posOffset>5615940</wp:posOffset>
          </wp:positionH>
          <wp:positionV relativeFrom="paragraph">
            <wp:posOffset>137</wp:posOffset>
          </wp:positionV>
          <wp:extent cx="924749" cy="670560"/>
          <wp:effectExtent l="0" t="0" r="889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74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7F02">
      <w:rPr>
        <w:rFonts w:ascii="Candara" w:hAnsi="Candara" w:cs="Arial"/>
        <w:b/>
        <w:bCs/>
        <w:color w:val="2F5496" w:themeColor="accent1" w:themeShade="BF"/>
        <w:sz w:val="32"/>
        <w:szCs w:val="32"/>
      </w:rPr>
      <w:t>Heartbeat of Healthcare</w:t>
    </w:r>
    <w:r w:rsidR="00955FBA">
      <w:rPr>
        <w:rFonts w:ascii="Candara" w:hAnsi="Candara" w:cs="Arial"/>
        <w:b/>
        <w:bCs/>
        <w:color w:val="2F5496" w:themeColor="accent1" w:themeShade="BF"/>
        <w:sz w:val="32"/>
        <w:szCs w:val="32"/>
      </w:rPr>
      <w:t>:  Supply Chain Award</w:t>
    </w:r>
  </w:p>
  <w:p w14:paraId="4E735324" w14:textId="2B855E35" w:rsidR="00C43F87" w:rsidRPr="00C5388B" w:rsidRDefault="00450C76" w:rsidP="00C43F87">
    <w:pPr>
      <w:spacing w:after="60"/>
      <w:ind w:left="-18" w:right="-108" w:hanging="252"/>
      <w:rPr>
        <w:rFonts w:ascii="Candara" w:hAnsi="Candara" w:cs="Arial"/>
        <w:b/>
        <w:bCs/>
        <w:color w:val="2F5496" w:themeColor="accent1" w:themeShade="BF"/>
        <w:sz w:val="24"/>
        <w:szCs w:val="24"/>
      </w:rPr>
    </w:pPr>
    <w:r>
      <w:rPr>
        <w:rFonts w:ascii="Candara" w:hAnsi="Candara" w:cs="Arial"/>
        <w:b/>
        <w:bCs/>
        <w:color w:val="2F5496" w:themeColor="accent1" w:themeShade="BF"/>
        <w:sz w:val="24"/>
        <w:szCs w:val="24"/>
      </w:rPr>
      <w:t xml:space="preserve">Revised </w:t>
    </w:r>
    <w:r w:rsidR="00DD73DD">
      <w:rPr>
        <w:rFonts w:ascii="Candara" w:hAnsi="Candara" w:cs="Arial"/>
        <w:b/>
        <w:bCs/>
        <w:color w:val="2F5496" w:themeColor="accent1" w:themeShade="BF"/>
        <w:sz w:val="24"/>
        <w:szCs w:val="24"/>
      </w:rPr>
      <w:t>May</w:t>
    </w:r>
    <w:r w:rsidR="00C5388B">
      <w:rPr>
        <w:rFonts w:ascii="Candara" w:hAnsi="Candara" w:cs="Arial"/>
        <w:b/>
        <w:bCs/>
        <w:color w:val="2F5496" w:themeColor="accent1" w:themeShade="BF"/>
        <w:sz w:val="24"/>
        <w:szCs w:val="24"/>
      </w:rPr>
      <w:t xml:space="preserve"> 202</w:t>
    </w:r>
    <w:r w:rsidR="00DD73DD">
      <w:rPr>
        <w:rFonts w:ascii="Candara" w:hAnsi="Candara" w:cs="Arial"/>
        <w:b/>
        <w:bCs/>
        <w:color w:val="2F5496" w:themeColor="accent1" w:themeShade="BF"/>
        <w:sz w:val="24"/>
        <w:szCs w:val="24"/>
      </w:rPr>
      <w:t>4</w:t>
    </w:r>
  </w:p>
  <w:p w14:paraId="39497A13" w14:textId="2F85899B" w:rsidR="00C43F87" w:rsidRPr="003217DA" w:rsidRDefault="00C43F87" w:rsidP="00C43F87">
    <w:pPr>
      <w:spacing w:after="60"/>
      <w:ind w:left="-18" w:right="-108" w:hanging="252"/>
      <w:rPr>
        <w:rFonts w:cs="Arial"/>
        <w:sz w:val="32"/>
        <w:szCs w:val="32"/>
      </w:rPr>
    </w:pPr>
    <w:r w:rsidRPr="00C5388B">
      <w:rPr>
        <w:rFonts w:ascii="Candara" w:hAnsi="Candara" w:cs="Arial"/>
        <w:b/>
        <w:bCs/>
        <w:noProof/>
        <w:color w:val="2F5496" w:themeColor="accent1" w:themeShade="BF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6D272" wp14:editId="713C7922">
              <wp:simplePos x="0" y="0"/>
              <wp:positionH relativeFrom="column">
                <wp:posOffset>-685800</wp:posOffset>
              </wp:positionH>
              <wp:positionV relativeFrom="paragraph">
                <wp:posOffset>257810</wp:posOffset>
              </wp:positionV>
              <wp:extent cx="7772400" cy="90805"/>
              <wp:effectExtent l="0" t="0" r="0" b="444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080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022B37" id="Rectangle 9" o:spid="_x0000_s1026" style="position:absolute;margin-left:-54pt;margin-top:20.3pt;width:6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" fillcolor="#c00" stroked="f"/>
          </w:pict>
        </mc:Fallback>
      </mc:AlternateContent>
    </w:r>
    <w:r w:rsidRPr="00C5388B">
      <w:rPr>
        <w:rFonts w:ascii="Candara" w:hAnsi="Candara" w:cs="Arial"/>
        <w:b/>
        <w:bCs/>
        <w:color w:val="2F5496" w:themeColor="accent1" w:themeShade="BF"/>
        <w:sz w:val="24"/>
        <w:szCs w:val="24"/>
      </w:rPr>
      <w:t>Charter</w:t>
    </w:r>
    <w:r w:rsidRPr="00C43F87">
      <w:rPr>
        <w:rFonts w:ascii="Arial" w:hAnsi="Arial" w:cs="Arial"/>
        <w:b/>
        <w:bCs/>
        <w:sz w:val="32"/>
        <w:szCs w:val="32"/>
      </w:rPr>
      <w:t xml:space="preserve"> </w:t>
    </w:r>
    <w:r w:rsidRPr="003217DA">
      <w:rPr>
        <w:rFonts w:cs="Arial"/>
        <w:sz w:val="32"/>
        <w:szCs w:val="32"/>
      </w:rPr>
      <w:t xml:space="preserve"> </w:t>
    </w:r>
  </w:p>
  <w:p w14:paraId="27801F94" w14:textId="77777777" w:rsidR="00C43F87" w:rsidRDefault="00C43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17D"/>
    <w:multiLevelType w:val="hybridMultilevel"/>
    <w:tmpl w:val="D20E227A"/>
    <w:lvl w:ilvl="0" w:tplc="97C86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1E7B"/>
    <w:multiLevelType w:val="hybridMultilevel"/>
    <w:tmpl w:val="1484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E2169"/>
    <w:multiLevelType w:val="hybridMultilevel"/>
    <w:tmpl w:val="E74C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903BB"/>
    <w:multiLevelType w:val="hybridMultilevel"/>
    <w:tmpl w:val="A758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F78BB"/>
    <w:multiLevelType w:val="hybridMultilevel"/>
    <w:tmpl w:val="DE5C1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4790A"/>
    <w:multiLevelType w:val="hybridMultilevel"/>
    <w:tmpl w:val="A154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C2358"/>
    <w:multiLevelType w:val="hybridMultilevel"/>
    <w:tmpl w:val="63AE9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71F"/>
    <w:multiLevelType w:val="hybridMultilevel"/>
    <w:tmpl w:val="7D7A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679F"/>
    <w:multiLevelType w:val="hybridMultilevel"/>
    <w:tmpl w:val="1BDE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30DAA"/>
    <w:multiLevelType w:val="hybridMultilevel"/>
    <w:tmpl w:val="A3D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21A64"/>
    <w:multiLevelType w:val="hybridMultilevel"/>
    <w:tmpl w:val="6F4A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83D85"/>
    <w:multiLevelType w:val="hybridMultilevel"/>
    <w:tmpl w:val="8422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37ADC"/>
    <w:multiLevelType w:val="hybridMultilevel"/>
    <w:tmpl w:val="9AB00122"/>
    <w:lvl w:ilvl="0" w:tplc="97C86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634D9"/>
    <w:multiLevelType w:val="hybridMultilevel"/>
    <w:tmpl w:val="390E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20C64"/>
    <w:multiLevelType w:val="hybridMultilevel"/>
    <w:tmpl w:val="D56C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E1AC0"/>
    <w:multiLevelType w:val="hybridMultilevel"/>
    <w:tmpl w:val="D5EA1A54"/>
    <w:lvl w:ilvl="0" w:tplc="97C86F0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D19A8"/>
    <w:multiLevelType w:val="hybridMultilevel"/>
    <w:tmpl w:val="DA80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774E9"/>
    <w:multiLevelType w:val="hybridMultilevel"/>
    <w:tmpl w:val="D5F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B4720"/>
    <w:multiLevelType w:val="hybridMultilevel"/>
    <w:tmpl w:val="B596F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643BB"/>
    <w:multiLevelType w:val="hybridMultilevel"/>
    <w:tmpl w:val="264C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282191">
    <w:abstractNumId w:val="13"/>
  </w:num>
  <w:num w:numId="2" w16cid:durableId="936060481">
    <w:abstractNumId w:val="18"/>
  </w:num>
  <w:num w:numId="3" w16cid:durableId="1378628786">
    <w:abstractNumId w:val="3"/>
  </w:num>
  <w:num w:numId="4" w16cid:durableId="1203908281">
    <w:abstractNumId w:val="2"/>
  </w:num>
  <w:num w:numId="5" w16cid:durableId="73553865">
    <w:abstractNumId w:val="9"/>
  </w:num>
  <w:num w:numId="6" w16cid:durableId="1064447814">
    <w:abstractNumId w:val="6"/>
  </w:num>
  <w:num w:numId="7" w16cid:durableId="1129518201">
    <w:abstractNumId w:val="17"/>
  </w:num>
  <w:num w:numId="8" w16cid:durableId="28844299">
    <w:abstractNumId w:val="11"/>
  </w:num>
  <w:num w:numId="9" w16cid:durableId="33041968">
    <w:abstractNumId w:val="15"/>
  </w:num>
  <w:num w:numId="10" w16cid:durableId="14575215">
    <w:abstractNumId w:val="12"/>
  </w:num>
  <w:num w:numId="11" w16cid:durableId="1118183395">
    <w:abstractNumId w:val="0"/>
  </w:num>
  <w:num w:numId="12" w16cid:durableId="228466273">
    <w:abstractNumId w:val="4"/>
  </w:num>
  <w:num w:numId="13" w16cid:durableId="849444032">
    <w:abstractNumId w:val="16"/>
  </w:num>
  <w:num w:numId="14" w16cid:durableId="912858684">
    <w:abstractNumId w:val="8"/>
  </w:num>
  <w:num w:numId="15" w16cid:durableId="1835493096">
    <w:abstractNumId w:val="1"/>
  </w:num>
  <w:num w:numId="16" w16cid:durableId="2087410283">
    <w:abstractNumId w:val="5"/>
  </w:num>
  <w:num w:numId="17" w16cid:durableId="15426838">
    <w:abstractNumId w:val="10"/>
  </w:num>
  <w:num w:numId="18" w16cid:durableId="414591560">
    <w:abstractNumId w:val="7"/>
  </w:num>
  <w:num w:numId="19" w16cid:durableId="346173558">
    <w:abstractNumId w:val="14"/>
  </w:num>
  <w:num w:numId="20" w16cid:durableId="16992354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NDOzsDQxNTYyNDdQ0lEKTi0uzszPAykwqQUAVRtxRCwAAAA="/>
  </w:docVars>
  <w:rsids>
    <w:rsidRoot w:val="00C43F87"/>
    <w:rsid w:val="00003A84"/>
    <w:rsid w:val="00010773"/>
    <w:rsid w:val="000268B1"/>
    <w:rsid w:val="00034AA7"/>
    <w:rsid w:val="00041E5B"/>
    <w:rsid w:val="00055241"/>
    <w:rsid w:val="00070E74"/>
    <w:rsid w:val="00076BBF"/>
    <w:rsid w:val="00096CF8"/>
    <w:rsid w:val="000C4DAC"/>
    <w:rsid w:val="000C7FC9"/>
    <w:rsid w:val="000E6999"/>
    <w:rsid w:val="000E6FAE"/>
    <w:rsid w:val="001053E5"/>
    <w:rsid w:val="00107E8A"/>
    <w:rsid w:val="00111B3B"/>
    <w:rsid w:val="00116A30"/>
    <w:rsid w:val="001249A6"/>
    <w:rsid w:val="00125012"/>
    <w:rsid w:val="00133B7C"/>
    <w:rsid w:val="00176F12"/>
    <w:rsid w:val="00180184"/>
    <w:rsid w:val="00181494"/>
    <w:rsid w:val="00186E59"/>
    <w:rsid w:val="001D1EB5"/>
    <w:rsid w:val="001D3181"/>
    <w:rsid w:val="001D6CD3"/>
    <w:rsid w:val="001E2AC8"/>
    <w:rsid w:val="001F0689"/>
    <w:rsid w:val="001F54D6"/>
    <w:rsid w:val="002006F0"/>
    <w:rsid w:val="00201679"/>
    <w:rsid w:val="00203EAD"/>
    <w:rsid w:val="0022139F"/>
    <w:rsid w:val="0022493A"/>
    <w:rsid w:val="00227730"/>
    <w:rsid w:val="002329DC"/>
    <w:rsid w:val="00232C11"/>
    <w:rsid w:val="00241FC9"/>
    <w:rsid w:val="002667F8"/>
    <w:rsid w:val="00271F1C"/>
    <w:rsid w:val="002A36FB"/>
    <w:rsid w:val="002C34BF"/>
    <w:rsid w:val="002C5F99"/>
    <w:rsid w:val="002E743F"/>
    <w:rsid w:val="002F521B"/>
    <w:rsid w:val="00305CBC"/>
    <w:rsid w:val="00312546"/>
    <w:rsid w:val="0031799A"/>
    <w:rsid w:val="00321D6F"/>
    <w:rsid w:val="00344C26"/>
    <w:rsid w:val="00346A9F"/>
    <w:rsid w:val="00347B33"/>
    <w:rsid w:val="003508FA"/>
    <w:rsid w:val="00351C40"/>
    <w:rsid w:val="00354E26"/>
    <w:rsid w:val="003556C5"/>
    <w:rsid w:val="00372C3B"/>
    <w:rsid w:val="00376BDA"/>
    <w:rsid w:val="003849F5"/>
    <w:rsid w:val="003A6AB1"/>
    <w:rsid w:val="003C3C80"/>
    <w:rsid w:val="003C3EC2"/>
    <w:rsid w:val="003D55EC"/>
    <w:rsid w:val="003E3CE1"/>
    <w:rsid w:val="003F13FA"/>
    <w:rsid w:val="00401346"/>
    <w:rsid w:val="00420589"/>
    <w:rsid w:val="004305CA"/>
    <w:rsid w:val="00431EAC"/>
    <w:rsid w:val="004372A0"/>
    <w:rsid w:val="004408F2"/>
    <w:rsid w:val="00450846"/>
    <w:rsid w:val="00450C76"/>
    <w:rsid w:val="0046170E"/>
    <w:rsid w:val="004629FF"/>
    <w:rsid w:val="00473ACF"/>
    <w:rsid w:val="00477E13"/>
    <w:rsid w:val="004804AE"/>
    <w:rsid w:val="004866DC"/>
    <w:rsid w:val="004900EC"/>
    <w:rsid w:val="004B61EC"/>
    <w:rsid w:val="004B7428"/>
    <w:rsid w:val="004C20EA"/>
    <w:rsid w:val="004C5DE8"/>
    <w:rsid w:val="004E5471"/>
    <w:rsid w:val="00517C42"/>
    <w:rsid w:val="005519E9"/>
    <w:rsid w:val="00565253"/>
    <w:rsid w:val="00573CDB"/>
    <w:rsid w:val="00574425"/>
    <w:rsid w:val="0058093A"/>
    <w:rsid w:val="00582D82"/>
    <w:rsid w:val="00587677"/>
    <w:rsid w:val="00591139"/>
    <w:rsid w:val="00591393"/>
    <w:rsid w:val="00594D9C"/>
    <w:rsid w:val="005B7958"/>
    <w:rsid w:val="005E2164"/>
    <w:rsid w:val="005F7584"/>
    <w:rsid w:val="00600108"/>
    <w:rsid w:val="00602ED3"/>
    <w:rsid w:val="00630C90"/>
    <w:rsid w:val="00647665"/>
    <w:rsid w:val="00655A67"/>
    <w:rsid w:val="006713B5"/>
    <w:rsid w:val="006756F6"/>
    <w:rsid w:val="00677375"/>
    <w:rsid w:val="00693D4A"/>
    <w:rsid w:val="006B705B"/>
    <w:rsid w:val="006C293B"/>
    <w:rsid w:val="006C3C95"/>
    <w:rsid w:val="006F3915"/>
    <w:rsid w:val="00710639"/>
    <w:rsid w:val="00710C56"/>
    <w:rsid w:val="00713026"/>
    <w:rsid w:val="00726D9A"/>
    <w:rsid w:val="00727A9F"/>
    <w:rsid w:val="00731AE4"/>
    <w:rsid w:val="00731FA2"/>
    <w:rsid w:val="00736122"/>
    <w:rsid w:val="00743119"/>
    <w:rsid w:val="00745F7D"/>
    <w:rsid w:val="0075060F"/>
    <w:rsid w:val="00750CC0"/>
    <w:rsid w:val="00753DA0"/>
    <w:rsid w:val="00762F5E"/>
    <w:rsid w:val="0076521B"/>
    <w:rsid w:val="00772817"/>
    <w:rsid w:val="007942CD"/>
    <w:rsid w:val="007B406C"/>
    <w:rsid w:val="007C11DB"/>
    <w:rsid w:val="007C2CF1"/>
    <w:rsid w:val="007D44CA"/>
    <w:rsid w:val="007F30B3"/>
    <w:rsid w:val="00807CEC"/>
    <w:rsid w:val="008108C4"/>
    <w:rsid w:val="00812309"/>
    <w:rsid w:val="0081240C"/>
    <w:rsid w:val="008166D1"/>
    <w:rsid w:val="0082064F"/>
    <w:rsid w:val="00821FAE"/>
    <w:rsid w:val="00844F14"/>
    <w:rsid w:val="00847F61"/>
    <w:rsid w:val="00874E04"/>
    <w:rsid w:val="0088717F"/>
    <w:rsid w:val="008919F0"/>
    <w:rsid w:val="008A768F"/>
    <w:rsid w:val="008C4CB9"/>
    <w:rsid w:val="008C7635"/>
    <w:rsid w:val="008C784A"/>
    <w:rsid w:val="008D33F1"/>
    <w:rsid w:val="008D644A"/>
    <w:rsid w:val="008E2CEA"/>
    <w:rsid w:val="008E53AD"/>
    <w:rsid w:val="008F0BA2"/>
    <w:rsid w:val="008F45B2"/>
    <w:rsid w:val="0090292A"/>
    <w:rsid w:val="0091288F"/>
    <w:rsid w:val="00920308"/>
    <w:rsid w:val="00943CB6"/>
    <w:rsid w:val="00946F79"/>
    <w:rsid w:val="00951496"/>
    <w:rsid w:val="00955FBA"/>
    <w:rsid w:val="00956FA3"/>
    <w:rsid w:val="0097268B"/>
    <w:rsid w:val="00972C7E"/>
    <w:rsid w:val="00982D41"/>
    <w:rsid w:val="00990989"/>
    <w:rsid w:val="009A627F"/>
    <w:rsid w:val="009B0AB1"/>
    <w:rsid w:val="009B3480"/>
    <w:rsid w:val="009C320C"/>
    <w:rsid w:val="009C7A90"/>
    <w:rsid w:val="009D24BC"/>
    <w:rsid w:val="009E1064"/>
    <w:rsid w:val="009E72FA"/>
    <w:rsid w:val="009F5C3B"/>
    <w:rsid w:val="00A0591C"/>
    <w:rsid w:val="00A06BE0"/>
    <w:rsid w:val="00A13979"/>
    <w:rsid w:val="00A144CA"/>
    <w:rsid w:val="00A160CF"/>
    <w:rsid w:val="00A24B94"/>
    <w:rsid w:val="00A533FD"/>
    <w:rsid w:val="00A66A35"/>
    <w:rsid w:val="00A809C5"/>
    <w:rsid w:val="00A83FDB"/>
    <w:rsid w:val="00A872EA"/>
    <w:rsid w:val="00A90CAA"/>
    <w:rsid w:val="00A93606"/>
    <w:rsid w:val="00AA08A9"/>
    <w:rsid w:val="00AA5B5B"/>
    <w:rsid w:val="00AA679C"/>
    <w:rsid w:val="00AB4F78"/>
    <w:rsid w:val="00AC4B98"/>
    <w:rsid w:val="00AC71AF"/>
    <w:rsid w:val="00B332D0"/>
    <w:rsid w:val="00B349C7"/>
    <w:rsid w:val="00B5370B"/>
    <w:rsid w:val="00B573BA"/>
    <w:rsid w:val="00B63BD8"/>
    <w:rsid w:val="00B77487"/>
    <w:rsid w:val="00B77F0A"/>
    <w:rsid w:val="00B82D11"/>
    <w:rsid w:val="00B91547"/>
    <w:rsid w:val="00B96D7D"/>
    <w:rsid w:val="00BB68E7"/>
    <w:rsid w:val="00BD1C5A"/>
    <w:rsid w:val="00BD439F"/>
    <w:rsid w:val="00BD450F"/>
    <w:rsid w:val="00BD479C"/>
    <w:rsid w:val="00BE5262"/>
    <w:rsid w:val="00BF3B17"/>
    <w:rsid w:val="00C01FB6"/>
    <w:rsid w:val="00C03F0F"/>
    <w:rsid w:val="00C15752"/>
    <w:rsid w:val="00C257B8"/>
    <w:rsid w:val="00C31D76"/>
    <w:rsid w:val="00C32791"/>
    <w:rsid w:val="00C328DE"/>
    <w:rsid w:val="00C37938"/>
    <w:rsid w:val="00C43F87"/>
    <w:rsid w:val="00C45543"/>
    <w:rsid w:val="00C46879"/>
    <w:rsid w:val="00C50DE8"/>
    <w:rsid w:val="00C5388B"/>
    <w:rsid w:val="00C575A5"/>
    <w:rsid w:val="00C642D6"/>
    <w:rsid w:val="00C71095"/>
    <w:rsid w:val="00C77F02"/>
    <w:rsid w:val="00C82D85"/>
    <w:rsid w:val="00CB1A43"/>
    <w:rsid w:val="00CC5D76"/>
    <w:rsid w:val="00CE4B87"/>
    <w:rsid w:val="00CF095C"/>
    <w:rsid w:val="00CF4673"/>
    <w:rsid w:val="00CF77FE"/>
    <w:rsid w:val="00D32EAC"/>
    <w:rsid w:val="00D407EC"/>
    <w:rsid w:val="00D439E6"/>
    <w:rsid w:val="00D5022E"/>
    <w:rsid w:val="00D507BF"/>
    <w:rsid w:val="00D611BE"/>
    <w:rsid w:val="00D65451"/>
    <w:rsid w:val="00D8266C"/>
    <w:rsid w:val="00D855C3"/>
    <w:rsid w:val="00D90CE5"/>
    <w:rsid w:val="00D949C8"/>
    <w:rsid w:val="00DB3912"/>
    <w:rsid w:val="00DD63E2"/>
    <w:rsid w:val="00DD73DD"/>
    <w:rsid w:val="00DE2395"/>
    <w:rsid w:val="00E1638F"/>
    <w:rsid w:val="00E46CED"/>
    <w:rsid w:val="00E61BE6"/>
    <w:rsid w:val="00E64B40"/>
    <w:rsid w:val="00E64DCA"/>
    <w:rsid w:val="00E71399"/>
    <w:rsid w:val="00EA47E0"/>
    <w:rsid w:val="00EB0363"/>
    <w:rsid w:val="00EB585D"/>
    <w:rsid w:val="00EC689F"/>
    <w:rsid w:val="00ED253C"/>
    <w:rsid w:val="00EE0E29"/>
    <w:rsid w:val="00EE766B"/>
    <w:rsid w:val="00EE7B5A"/>
    <w:rsid w:val="00EF6854"/>
    <w:rsid w:val="00EF6F26"/>
    <w:rsid w:val="00F00ED2"/>
    <w:rsid w:val="00F111F7"/>
    <w:rsid w:val="00F22FEF"/>
    <w:rsid w:val="00F53737"/>
    <w:rsid w:val="00F6122D"/>
    <w:rsid w:val="00F64ABD"/>
    <w:rsid w:val="00F64FDE"/>
    <w:rsid w:val="00F70BBF"/>
    <w:rsid w:val="00F70C95"/>
    <w:rsid w:val="00F72602"/>
    <w:rsid w:val="00F767AF"/>
    <w:rsid w:val="00F84856"/>
    <w:rsid w:val="00F91870"/>
    <w:rsid w:val="00F97DDF"/>
    <w:rsid w:val="00FA5D0D"/>
    <w:rsid w:val="00FB686C"/>
    <w:rsid w:val="00FC32A1"/>
    <w:rsid w:val="00FC3E73"/>
    <w:rsid w:val="00FC3EEB"/>
    <w:rsid w:val="00FD4F48"/>
    <w:rsid w:val="00FE0331"/>
    <w:rsid w:val="00FE59F0"/>
    <w:rsid w:val="00FF130A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D5B94"/>
  <w15:chartTrackingRefBased/>
  <w15:docId w15:val="{908C81B9-2885-4AC9-911F-AF046A0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399"/>
  </w:style>
  <w:style w:type="paragraph" w:styleId="Heading1">
    <w:name w:val="heading 1"/>
    <w:basedOn w:val="Normal"/>
    <w:next w:val="Normal"/>
    <w:link w:val="Heading1Char"/>
    <w:qFormat/>
    <w:rsid w:val="00C43F87"/>
    <w:pPr>
      <w:keepNext/>
      <w:spacing w:after="60" w:line="240" w:lineRule="auto"/>
      <w:outlineLvl w:val="0"/>
    </w:pPr>
    <w:rPr>
      <w:rFonts w:ascii="Arial" w:eastAsia="Times New Roman" w:hAnsi="Arial" w:cs="Times New Roman"/>
      <w:b/>
      <w:color w:val="0070C0"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F87"/>
    <w:rPr>
      <w:rFonts w:ascii="Arial" w:eastAsia="Times New Roman" w:hAnsi="Arial" w:cs="Times New Roman"/>
      <w:b/>
      <w:color w:val="0070C0"/>
      <w:kern w:val="28"/>
      <w:szCs w:val="20"/>
    </w:rPr>
  </w:style>
  <w:style w:type="paragraph" w:styleId="Caption">
    <w:name w:val="caption"/>
    <w:basedOn w:val="Normal"/>
    <w:next w:val="Normal"/>
    <w:qFormat/>
    <w:rsid w:val="00C43F87"/>
    <w:pPr>
      <w:spacing w:before="120" w:after="120" w:line="240" w:lineRule="auto"/>
    </w:pPr>
    <w:rPr>
      <w:rFonts w:ascii="Arial" w:eastAsia="Times New Roman" w:hAnsi="Arial" w:cs="Times New Roman"/>
      <w:b/>
      <w:smallCaps/>
      <w:color w:val="002060"/>
      <w:kern w:val="28"/>
      <w:sz w:val="28"/>
      <w:szCs w:val="20"/>
    </w:rPr>
  </w:style>
  <w:style w:type="character" w:styleId="Hyperlink">
    <w:name w:val="Hyperlink"/>
    <w:rsid w:val="00C43F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87"/>
  </w:style>
  <w:style w:type="paragraph" w:styleId="Footer">
    <w:name w:val="footer"/>
    <w:basedOn w:val="Normal"/>
    <w:link w:val="FooterChar"/>
    <w:uiPriority w:val="99"/>
    <w:unhideWhenUsed/>
    <w:rsid w:val="00C4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87"/>
  </w:style>
  <w:style w:type="paragraph" w:styleId="ListParagraph">
    <w:name w:val="List Paragraph"/>
    <w:basedOn w:val="Normal"/>
    <w:uiPriority w:val="34"/>
    <w:qFormat/>
    <w:rsid w:val="008C4CB9"/>
    <w:pPr>
      <w:ind w:left="720"/>
      <w:contextualSpacing/>
    </w:pPr>
  </w:style>
  <w:style w:type="table" w:styleId="TableGrid">
    <w:name w:val="Table Grid"/>
    <w:basedOn w:val="TableNormal"/>
    <w:uiPriority w:val="39"/>
    <w:rsid w:val="0055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552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1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1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FA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B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7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299E50A0914EB4377EB8CEEC95B1" ma:contentTypeVersion="12" ma:contentTypeDescription="Create a new document." ma:contentTypeScope="" ma:versionID="646255ae5b5019db1612b077de357fae">
  <xsd:schema xmlns:xsd="http://www.w3.org/2001/XMLSchema" xmlns:xs="http://www.w3.org/2001/XMLSchema" xmlns:p="http://schemas.microsoft.com/office/2006/metadata/properties" xmlns:ns2="31097968-b2d1-46c8-ad53-bf066c6965af" xmlns:ns3="4418b9ed-76e8-4875-9785-26a12ac78da3" targetNamespace="http://schemas.microsoft.com/office/2006/metadata/properties" ma:root="true" ma:fieldsID="3adaaafdf0b26cb393d2afb4b5bf5126" ns2:_="" ns3:_="">
    <xsd:import namespace="31097968-b2d1-46c8-ad53-bf066c6965af"/>
    <xsd:import namespace="4418b9ed-76e8-4875-9785-26a12ac78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97968-b2d1-46c8-ad53-bf066c696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b9ed-76e8-4875-9785-26a12ac78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1BEE33-1B4F-4D9C-88A6-852CE6C72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A22D0-7C8A-4CF3-8077-883B2A985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97968-b2d1-46c8-ad53-bf066c6965af"/>
    <ds:schemaRef ds:uri="4418b9ed-76e8-4875-9785-26a12ac78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8567A-4CE2-4ACC-B4CC-E6AEF7727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Walsh</dc:creator>
  <cp:keywords/>
  <dc:description/>
  <cp:lastModifiedBy>Schiller, Mike</cp:lastModifiedBy>
  <cp:revision>2</cp:revision>
  <dcterms:created xsi:type="dcterms:W3CDTF">2024-05-20T20:42:00Z</dcterms:created>
  <dcterms:modified xsi:type="dcterms:W3CDTF">2024-05-20T20:42:00Z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0x0101000A72299E50A0914EB4377EB8CEEC95B1</vt:lpwstr>
  </property>
</Properties>
</file>